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BF7" w:rsidRDefault="004F1BF7" w:rsidP="004F1BF7">
      <w:pPr>
        <w:spacing w:after="0"/>
        <w:ind w:left="10" w:right="26" w:hanging="10"/>
        <w:jc w:val="right"/>
        <w:rPr>
          <w:rFonts w:eastAsia="Gill Sans MT"/>
          <w:b/>
          <w:sz w:val="24"/>
        </w:rPr>
      </w:pPr>
      <w:r w:rsidRPr="00E960BB">
        <w:rPr>
          <w:rFonts w:ascii="Corbel" w:hAnsi="Corbel"/>
          <w:bCs/>
          <w:i/>
        </w:rPr>
        <w:t>Załącznik nr 1.5 do Zarządzenia Rektora UR nr 12/2019</w:t>
      </w:r>
    </w:p>
    <w:p w:rsidR="006B6EE8" w:rsidRDefault="006B6EE8">
      <w:pPr>
        <w:spacing w:after="0"/>
        <w:ind w:left="10" w:right="26" w:hanging="10"/>
        <w:jc w:val="center"/>
        <w:rPr>
          <w:rFonts w:eastAsia="Gill Sans MT"/>
          <w:b/>
          <w:sz w:val="24"/>
        </w:rPr>
      </w:pPr>
    </w:p>
    <w:p w:rsidR="00BC0F0A" w:rsidRPr="00F604B8" w:rsidRDefault="00F604B8">
      <w:pPr>
        <w:spacing w:after="0"/>
        <w:ind w:left="10" w:right="26" w:hanging="10"/>
        <w:jc w:val="center"/>
      </w:pPr>
      <w:r w:rsidRPr="00F604B8">
        <w:rPr>
          <w:rFonts w:eastAsia="Gill Sans MT"/>
          <w:b/>
          <w:sz w:val="24"/>
        </w:rPr>
        <w:t>SYLABUS</w:t>
      </w:r>
    </w:p>
    <w:p w:rsidR="0002117A" w:rsidRPr="009C54AE" w:rsidRDefault="0002117A" w:rsidP="0002117A">
      <w:pPr>
        <w:spacing w:after="0" w:line="240" w:lineRule="exact"/>
        <w:jc w:val="center"/>
        <w:rPr>
          <w:rFonts w:ascii="Corbel" w:hAnsi="Corbel"/>
          <w:b/>
          <w:smallCaps/>
          <w:sz w:val="24"/>
        </w:rPr>
      </w:pPr>
      <w:r w:rsidRPr="009C54AE">
        <w:rPr>
          <w:rFonts w:ascii="Corbel" w:hAnsi="Corbel"/>
          <w:b/>
          <w:smallCaps/>
          <w:sz w:val="24"/>
        </w:rPr>
        <w:t>dotyczy cyklu kształcenia</w:t>
      </w:r>
      <w:r w:rsidR="000B30E0">
        <w:rPr>
          <w:rFonts w:ascii="Corbel" w:hAnsi="Corbel"/>
          <w:b/>
          <w:smallCaps/>
          <w:sz w:val="24"/>
        </w:rPr>
        <w:t xml:space="preserve"> </w:t>
      </w:r>
      <w:r>
        <w:rPr>
          <w:rFonts w:ascii="Corbel" w:hAnsi="Corbel"/>
          <w:i/>
          <w:smallCaps/>
          <w:sz w:val="24"/>
        </w:rPr>
        <w:t>2021/2022 – 2022/2023</w:t>
      </w:r>
    </w:p>
    <w:p w:rsidR="0002117A" w:rsidRDefault="0002117A" w:rsidP="0002117A">
      <w:pPr>
        <w:spacing w:after="0" w:line="240" w:lineRule="exact"/>
        <w:jc w:val="both"/>
        <w:rPr>
          <w:rFonts w:ascii="Corbel" w:hAnsi="Corbel"/>
          <w:sz w:val="20"/>
          <w:szCs w:val="20"/>
        </w:rPr>
      </w:pPr>
      <w:r>
        <w:rPr>
          <w:rFonts w:ascii="Corbel" w:hAnsi="Corbel"/>
          <w:i/>
          <w:sz w:val="24"/>
        </w:rPr>
        <w:t xml:space="preserve">                                                                                   </w:t>
      </w:r>
      <w:r w:rsidR="000B30E0">
        <w:rPr>
          <w:rFonts w:ascii="Corbel" w:hAnsi="Corbel"/>
          <w:i/>
          <w:sz w:val="24"/>
        </w:rPr>
        <w:tab/>
      </w:r>
      <w:r w:rsidR="000B30E0">
        <w:rPr>
          <w:rFonts w:ascii="Corbel" w:hAnsi="Corbel"/>
          <w:i/>
          <w:sz w:val="24"/>
        </w:rPr>
        <w:tab/>
      </w:r>
      <w:r w:rsidR="000B30E0">
        <w:rPr>
          <w:rFonts w:ascii="Corbel" w:hAnsi="Corbel"/>
          <w:i/>
          <w:sz w:val="24"/>
        </w:rPr>
        <w:tab/>
      </w:r>
      <w:r w:rsidRPr="00EA4832">
        <w:rPr>
          <w:rFonts w:ascii="Corbel" w:hAnsi="Corbel"/>
          <w:i/>
          <w:sz w:val="20"/>
          <w:szCs w:val="20"/>
        </w:rPr>
        <w:t>(skrajne daty</w:t>
      </w:r>
      <w:r w:rsidRPr="00EA4832">
        <w:rPr>
          <w:rFonts w:ascii="Corbel" w:hAnsi="Corbel"/>
          <w:sz w:val="20"/>
          <w:szCs w:val="20"/>
        </w:rPr>
        <w:t>)</w:t>
      </w:r>
    </w:p>
    <w:p w:rsidR="000B30E0" w:rsidRDefault="000B30E0" w:rsidP="0002117A">
      <w:pPr>
        <w:spacing w:after="0" w:line="240" w:lineRule="exact"/>
        <w:jc w:val="center"/>
        <w:rPr>
          <w:rFonts w:ascii="Corbel" w:hAnsi="Corbel"/>
          <w:sz w:val="20"/>
          <w:szCs w:val="20"/>
        </w:rPr>
      </w:pPr>
    </w:p>
    <w:p w:rsidR="004F1BF7" w:rsidRDefault="0002117A" w:rsidP="0002117A">
      <w:pPr>
        <w:spacing w:after="0" w:line="240" w:lineRule="exact"/>
        <w:jc w:val="center"/>
        <w:rPr>
          <w:rFonts w:ascii="Corbel" w:hAnsi="Corbel"/>
          <w:sz w:val="20"/>
          <w:szCs w:val="20"/>
        </w:rPr>
      </w:pPr>
      <w:r>
        <w:rPr>
          <w:rFonts w:ascii="Corbel" w:hAnsi="Corbel"/>
          <w:sz w:val="20"/>
          <w:szCs w:val="20"/>
        </w:rPr>
        <w:t>Rok akademicki 2022/2023</w:t>
      </w:r>
    </w:p>
    <w:p w:rsidR="000B30E0" w:rsidRPr="0002117A" w:rsidRDefault="000B30E0" w:rsidP="0002117A">
      <w:pPr>
        <w:spacing w:after="0" w:line="240" w:lineRule="exact"/>
        <w:jc w:val="center"/>
        <w:rPr>
          <w:rFonts w:ascii="Corbel" w:hAnsi="Corbel"/>
          <w:sz w:val="20"/>
          <w:szCs w:val="20"/>
        </w:rPr>
      </w:pPr>
    </w:p>
    <w:p w:rsidR="00BC0F0A" w:rsidRPr="00F604B8" w:rsidRDefault="00F604B8">
      <w:pPr>
        <w:spacing w:after="0" w:line="265" w:lineRule="auto"/>
        <w:ind w:left="-5" w:hanging="10"/>
      </w:pPr>
      <w:r w:rsidRPr="00F604B8">
        <w:rPr>
          <w:rFonts w:eastAsia="Gill Sans MT"/>
          <w:b/>
          <w:sz w:val="24"/>
        </w:rPr>
        <w:t>1. P</w:t>
      </w:r>
      <w:r w:rsidRPr="00F604B8">
        <w:rPr>
          <w:rFonts w:eastAsia="Gill Sans MT"/>
          <w:b/>
          <w:sz w:val="19"/>
        </w:rPr>
        <w:t>ODSTAWOWE</w:t>
      </w:r>
      <w:r w:rsidRPr="00F604B8">
        <w:rPr>
          <w:rFonts w:eastAsia="Gill Sans MT"/>
          <w:b/>
          <w:sz w:val="24"/>
        </w:rPr>
        <w:t xml:space="preserve"> </w:t>
      </w:r>
      <w:r w:rsidRPr="00F604B8">
        <w:rPr>
          <w:rFonts w:eastAsia="Gill Sans MT"/>
          <w:b/>
          <w:sz w:val="19"/>
        </w:rPr>
        <w:t>INFORMACJE</w:t>
      </w:r>
      <w:r w:rsidRPr="00F604B8">
        <w:rPr>
          <w:rFonts w:eastAsia="Gill Sans MT"/>
          <w:b/>
          <w:sz w:val="24"/>
        </w:rPr>
        <w:t xml:space="preserve"> </w:t>
      </w:r>
      <w:r w:rsidRPr="00F604B8">
        <w:rPr>
          <w:rFonts w:eastAsia="Gill Sans MT"/>
          <w:b/>
          <w:sz w:val="19"/>
        </w:rPr>
        <w:t>O</w:t>
      </w:r>
      <w:r w:rsidRPr="00F604B8">
        <w:rPr>
          <w:rFonts w:eastAsia="Gill Sans MT"/>
          <w:b/>
          <w:sz w:val="24"/>
        </w:rPr>
        <w:t xml:space="preserve"> </w:t>
      </w:r>
      <w:r w:rsidRPr="00F604B8">
        <w:rPr>
          <w:rFonts w:eastAsia="Gill Sans MT"/>
          <w:b/>
          <w:sz w:val="19"/>
        </w:rPr>
        <w:t>PRZEDMIOCIE</w:t>
      </w:r>
      <w:r w:rsidRPr="00F604B8">
        <w:rPr>
          <w:rFonts w:eastAsia="Gill Sans MT"/>
          <w:b/>
          <w:sz w:val="24"/>
        </w:rPr>
        <w:t xml:space="preserve"> </w:t>
      </w:r>
    </w:p>
    <w:tbl>
      <w:tblPr>
        <w:tblStyle w:val="TableGrid"/>
        <w:tblW w:w="9622" w:type="dxa"/>
        <w:tblInd w:w="-1" w:type="dxa"/>
        <w:tblCellMar>
          <w:top w:w="65" w:type="dxa"/>
          <w:left w:w="81" w:type="dxa"/>
          <w:right w:w="114" w:type="dxa"/>
        </w:tblCellMar>
        <w:tblLook w:val="04A0" w:firstRow="1" w:lastRow="0" w:firstColumn="1" w:lastColumn="0" w:noHBand="0" w:noVBand="1"/>
      </w:tblPr>
      <w:tblGrid>
        <w:gridCol w:w="2650"/>
        <w:gridCol w:w="6972"/>
      </w:tblGrid>
      <w:tr w:rsidR="00BC0F0A" w:rsidRPr="00F604B8">
        <w:trPr>
          <w:trHeight w:val="73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Nazwa przedmiotu</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Publiczne prawo papierów wartościowych i instytucji rynku kapitałowego</w:t>
            </w:r>
          </w:p>
        </w:tc>
      </w:tr>
      <w:tr w:rsidR="00BC0F0A" w:rsidRPr="00F604B8" w:rsidTr="00455B78">
        <w:trPr>
          <w:trHeight w:val="385"/>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Kod przedmiotu</w:t>
            </w:r>
            <w:r w:rsidR="004F1BF7" w:rsidRPr="00F604B8">
              <w:rPr>
                <w:rFonts w:eastAsia="Gill Sans MT"/>
                <w:sz w:val="24"/>
              </w:rPr>
              <w:t xml:space="preserve"> </w:t>
            </w:r>
            <w:r w:rsidRPr="00F604B8">
              <w:rPr>
                <w:rFonts w:eastAsia="Gill Sans MT"/>
                <w:sz w:val="24"/>
              </w:rPr>
              <w:t>*</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t>PRA111</w:t>
            </w:r>
          </w:p>
        </w:tc>
      </w:tr>
      <w:tr w:rsidR="00BC0F0A" w:rsidRPr="00F604B8">
        <w:trPr>
          <w:trHeight w:val="659"/>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nazwa jednostki prowadzącej kierunek</w:t>
            </w:r>
          </w:p>
        </w:tc>
        <w:tc>
          <w:tcPr>
            <w:tcW w:w="6972"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0B30E0" w:rsidP="00CE341A">
            <w:pPr>
              <w:spacing w:after="0"/>
              <w:ind w:left="10"/>
            </w:pPr>
            <w:r>
              <w:t xml:space="preserve">Kolegium Nauk Społecznych </w:t>
            </w:r>
          </w:p>
        </w:tc>
      </w:tr>
      <w:tr w:rsidR="00BC0F0A" w:rsidRPr="00F604B8">
        <w:trPr>
          <w:trHeight w:val="73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Nazwa jednostki realizującej przedmiot</w:t>
            </w:r>
          </w:p>
        </w:tc>
        <w:tc>
          <w:tcPr>
            <w:tcW w:w="6972"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0B30E0" w:rsidP="00CE341A">
            <w:pPr>
              <w:spacing w:after="0"/>
              <w:ind w:left="10"/>
            </w:pPr>
            <w:r>
              <w:rPr>
                <w:rFonts w:eastAsia="Gill Sans MT"/>
                <w:sz w:val="24"/>
              </w:rPr>
              <w:t>Instytut Nauk Prawnych</w:t>
            </w:r>
            <w:r w:rsidRPr="00F604B8">
              <w:rPr>
                <w:rFonts w:eastAsia="Gill Sans MT"/>
                <w:sz w:val="24"/>
              </w:rPr>
              <w:t xml:space="preserve"> </w:t>
            </w:r>
            <w:r>
              <w:rPr>
                <w:rFonts w:eastAsia="Gill Sans MT"/>
                <w:sz w:val="24"/>
              </w:rPr>
              <w:t xml:space="preserve">/ </w:t>
            </w:r>
            <w:r w:rsidR="00F604B8" w:rsidRPr="00F604B8">
              <w:rPr>
                <w:rFonts w:eastAsia="Gill Sans MT"/>
                <w:sz w:val="24"/>
              </w:rPr>
              <w:t>Zakład Prawa Gospodarczego</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Kierunek studiów</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Administracja</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 xml:space="preserve">Poziom </w:t>
            </w:r>
            <w:r w:rsidR="004F1BF7">
              <w:rPr>
                <w:rFonts w:eastAsia="Gill Sans MT"/>
                <w:sz w:val="24"/>
              </w:rPr>
              <w:t>studiów</w:t>
            </w:r>
            <w:r w:rsidRPr="00F604B8">
              <w:rPr>
                <w:rFonts w:eastAsia="Gill Sans MT"/>
                <w:sz w:val="24"/>
              </w:rPr>
              <w:t xml:space="preserve"> </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Studia II stopnia</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Profil</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Praktyczny</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Forma studiów</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niestacjonarne</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Rok i semestr studiów</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Rok II, semestr 3</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Rodzaj przedmiotu</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455B78" w:rsidP="00CE341A">
            <w:pPr>
              <w:spacing w:after="0"/>
              <w:ind w:left="10"/>
            </w:pPr>
            <w:r>
              <w:rPr>
                <w:rFonts w:eastAsia="Gill Sans MT"/>
                <w:sz w:val="24"/>
              </w:rPr>
              <w:t>Specjalnościowy</w:t>
            </w:r>
          </w:p>
        </w:tc>
      </w:tr>
      <w:tr w:rsidR="00BC0F0A" w:rsidRPr="00F604B8">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Język wykładowy</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pPr>
            <w:r w:rsidRPr="00F604B8">
              <w:rPr>
                <w:rFonts w:eastAsia="Gill Sans MT"/>
                <w:sz w:val="24"/>
              </w:rPr>
              <w:t>Polski</w:t>
            </w:r>
          </w:p>
        </w:tc>
      </w:tr>
      <w:tr w:rsidR="00BC0F0A" w:rsidRPr="000B30E0">
        <w:trPr>
          <w:trHeight w:val="45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Koordynator</w:t>
            </w:r>
          </w:p>
        </w:tc>
        <w:tc>
          <w:tcPr>
            <w:tcW w:w="6972"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ind w:left="10"/>
              <w:rPr>
                <w:lang w:val="en-US"/>
              </w:rPr>
            </w:pPr>
            <w:proofErr w:type="spellStart"/>
            <w:r w:rsidRPr="00F604B8">
              <w:rPr>
                <w:rFonts w:eastAsia="Gill Sans MT"/>
                <w:sz w:val="24"/>
                <w:lang w:val="en-US"/>
              </w:rPr>
              <w:t>dr</w:t>
            </w:r>
            <w:proofErr w:type="spellEnd"/>
            <w:r w:rsidRPr="00F604B8">
              <w:rPr>
                <w:rFonts w:eastAsia="Gill Sans MT"/>
                <w:sz w:val="24"/>
                <w:lang w:val="en-US"/>
              </w:rPr>
              <w:t xml:space="preserve"> hab. Jan Olszewski, prof. UR</w:t>
            </w:r>
          </w:p>
        </w:tc>
      </w:tr>
      <w:tr w:rsidR="00BC0F0A" w:rsidRPr="000B30E0">
        <w:trPr>
          <w:trHeight w:val="1010"/>
        </w:trPr>
        <w:tc>
          <w:tcPr>
            <w:tcW w:w="2650" w:type="dxa"/>
            <w:tcBorders>
              <w:top w:val="single" w:sz="4" w:space="0" w:color="7F7F7F"/>
              <w:left w:val="single" w:sz="4" w:space="0" w:color="7F7F7F"/>
              <w:bottom w:val="single" w:sz="4" w:space="0" w:color="7F7F7F"/>
              <w:right w:val="single" w:sz="4" w:space="0" w:color="7F7F7F"/>
            </w:tcBorders>
          </w:tcPr>
          <w:p w:rsidR="00BC0F0A" w:rsidRPr="00F604B8" w:rsidRDefault="00F604B8" w:rsidP="00CE341A">
            <w:pPr>
              <w:spacing w:after="0"/>
            </w:pPr>
            <w:r w:rsidRPr="00F604B8">
              <w:rPr>
                <w:rFonts w:eastAsia="Gill Sans MT"/>
                <w:sz w:val="24"/>
              </w:rPr>
              <w:t>Imię i nazwisko osoby prowadzącej / osób prowadzących</w:t>
            </w:r>
          </w:p>
        </w:tc>
        <w:tc>
          <w:tcPr>
            <w:tcW w:w="6972"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10"/>
              <w:rPr>
                <w:lang w:val="en-US"/>
              </w:rPr>
            </w:pPr>
            <w:proofErr w:type="spellStart"/>
            <w:r w:rsidRPr="00F604B8">
              <w:rPr>
                <w:rFonts w:eastAsia="Gill Sans MT"/>
                <w:sz w:val="24"/>
                <w:lang w:val="en-US"/>
              </w:rPr>
              <w:t>dr</w:t>
            </w:r>
            <w:proofErr w:type="spellEnd"/>
            <w:r w:rsidRPr="00F604B8">
              <w:rPr>
                <w:rFonts w:eastAsia="Gill Sans MT"/>
                <w:sz w:val="24"/>
                <w:lang w:val="en-US"/>
              </w:rPr>
              <w:t xml:space="preserve"> hab. Jan Olszewski, prof. UR</w:t>
            </w:r>
          </w:p>
        </w:tc>
      </w:tr>
    </w:tbl>
    <w:p w:rsidR="00BC0F0A" w:rsidRPr="00F604B8" w:rsidRDefault="00F604B8">
      <w:pPr>
        <w:spacing w:after="357"/>
      </w:pPr>
      <w:r w:rsidRPr="00F604B8">
        <w:rPr>
          <w:rFonts w:eastAsia="Gill Sans MT"/>
          <w:b/>
          <w:sz w:val="24"/>
        </w:rPr>
        <w:t xml:space="preserve">* </w:t>
      </w:r>
      <w:r w:rsidRPr="00F604B8">
        <w:rPr>
          <w:rFonts w:eastAsia="Gill Sans MT"/>
          <w:b/>
          <w:i/>
          <w:sz w:val="24"/>
        </w:rPr>
        <w:t xml:space="preserve">- </w:t>
      </w:r>
      <w:r w:rsidRPr="00F604B8">
        <w:rPr>
          <w:rFonts w:eastAsia="Gill Sans MT"/>
          <w:i/>
          <w:sz w:val="24"/>
        </w:rPr>
        <w:t xml:space="preserve">zgodnie z ustaleniami </w:t>
      </w:r>
      <w:r w:rsidR="00CF1635">
        <w:rPr>
          <w:rFonts w:eastAsia="Gill Sans MT"/>
          <w:i/>
          <w:sz w:val="24"/>
        </w:rPr>
        <w:t>w Jednostce</w:t>
      </w:r>
      <w:bookmarkStart w:id="0" w:name="_GoBack"/>
      <w:bookmarkEnd w:id="0"/>
    </w:p>
    <w:p w:rsidR="00BC0F0A" w:rsidRPr="00F604B8" w:rsidRDefault="00F604B8">
      <w:pPr>
        <w:pStyle w:val="Nagwek1"/>
        <w:ind w:left="290" w:right="0"/>
        <w:rPr>
          <w:rFonts w:ascii="Calibri" w:hAnsi="Calibri" w:cs="Calibri"/>
        </w:rPr>
      </w:pPr>
      <w:r w:rsidRPr="00F604B8">
        <w:rPr>
          <w:rFonts w:ascii="Calibri" w:hAnsi="Calibri" w:cs="Calibri"/>
        </w:rPr>
        <w:t xml:space="preserve">1.1.Formy zajęć dydaktycznych, wymiar godzin i punktów ECTS </w:t>
      </w:r>
    </w:p>
    <w:tbl>
      <w:tblPr>
        <w:tblStyle w:val="TableGrid"/>
        <w:tblW w:w="9622" w:type="dxa"/>
        <w:tblInd w:w="-1" w:type="dxa"/>
        <w:tblCellMar>
          <w:top w:w="85" w:type="dxa"/>
          <w:left w:w="124" w:type="dxa"/>
          <w:right w:w="67" w:type="dxa"/>
        </w:tblCellMar>
        <w:tblLook w:val="04A0" w:firstRow="1" w:lastRow="0" w:firstColumn="1" w:lastColumn="0" w:noHBand="0" w:noVBand="1"/>
      </w:tblPr>
      <w:tblGrid>
        <w:gridCol w:w="1034"/>
        <w:gridCol w:w="909"/>
        <w:gridCol w:w="791"/>
        <w:gridCol w:w="840"/>
        <w:gridCol w:w="801"/>
        <w:gridCol w:w="816"/>
        <w:gridCol w:w="770"/>
        <w:gridCol w:w="945"/>
        <w:gridCol w:w="1191"/>
        <w:gridCol w:w="1525"/>
      </w:tblGrid>
      <w:tr w:rsidR="00BC0F0A" w:rsidRPr="00F604B8" w:rsidTr="00CE341A">
        <w:trPr>
          <w:trHeight w:val="850"/>
        </w:trPr>
        <w:tc>
          <w:tcPr>
            <w:tcW w:w="103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97"/>
              <w:ind w:left="17"/>
              <w:jc w:val="center"/>
            </w:pPr>
            <w:r w:rsidRPr="00F604B8">
              <w:rPr>
                <w:rFonts w:eastAsia="Gill Sans MT"/>
                <w:sz w:val="24"/>
              </w:rPr>
              <w:t>Semestr</w:t>
            </w:r>
          </w:p>
        </w:tc>
        <w:tc>
          <w:tcPr>
            <w:tcW w:w="909"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62"/>
              <w:jc w:val="center"/>
            </w:pPr>
            <w:proofErr w:type="spellStart"/>
            <w:r w:rsidRPr="00F604B8">
              <w:rPr>
                <w:rFonts w:eastAsia="Gill Sans MT"/>
                <w:sz w:val="24"/>
              </w:rPr>
              <w:t>Wykł</w:t>
            </w:r>
            <w:proofErr w:type="spellEnd"/>
            <w:r w:rsidRPr="00F604B8">
              <w:rPr>
                <w:rFonts w:eastAsia="Gill Sans MT"/>
                <w:sz w:val="24"/>
              </w:rPr>
              <w:t>.</w:t>
            </w:r>
          </w:p>
        </w:tc>
        <w:tc>
          <w:tcPr>
            <w:tcW w:w="79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93"/>
              <w:jc w:val="center"/>
            </w:pPr>
            <w:r w:rsidRPr="00F604B8">
              <w:rPr>
                <w:rFonts w:eastAsia="Gill Sans MT"/>
                <w:sz w:val="24"/>
              </w:rPr>
              <w:t>Ćw.</w:t>
            </w:r>
          </w:p>
        </w:tc>
        <w:tc>
          <w:tcPr>
            <w:tcW w:w="840"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2"/>
              <w:jc w:val="center"/>
            </w:pPr>
            <w:proofErr w:type="spellStart"/>
            <w:r w:rsidRPr="00F604B8">
              <w:rPr>
                <w:rFonts w:eastAsia="Gill Sans MT"/>
                <w:sz w:val="24"/>
              </w:rPr>
              <w:t>Konw</w:t>
            </w:r>
            <w:proofErr w:type="spellEnd"/>
            <w:r w:rsidRPr="00F604B8">
              <w:rPr>
                <w:rFonts w:eastAsia="Gill Sans MT"/>
                <w:sz w:val="24"/>
              </w:rPr>
              <w:t>.</w:t>
            </w:r>
          </w:p>
        </w:tc>
        <w:tc>
          <w:tcPr>
            <w:tcW w:w="80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70"/>
              <w:jc w:val="center"/>
            </w:pPr>
            <w:r w:rsidRPr="00F604B8">
              <w:rPr>
                <w:rFonts w:eastAsia="Gill Sans MT"/>
                <w:sz w:val="24"/>
              </w:rPr>
              <w:t>Lab.</w:t>
            </w:r>
          </w:p>
        </w:tc>
        <w:tc>
          <w:tcPr>
            <w:tcW w:w="816"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62"/>
              <w:jc w:val="center"/>
            </w:pPr>
            <w:proofErr w:type="spellStart"/>
            <w:r w:rsidRPr="00F604B8">
              <w:rPr>
                <w:rFonts w:eastAsia="Gill Sans MT"/>
                <w:sz w:val="24"/>
              </w:rPr>
              <w:t>Sem</w:t>
            </w:r>
            <w:proofErr w:type="spellEnd"/>
            <w:r w:rsidRPr="00F604B8">
              <w:rPr>
                <w:rFonts w:eastAsia="Gill Sans MT"/>
                <w:sz w:val="24"/>
              </w:rPr>
              <w:t>.</w:t>
            </w:r>
          </w:p>
        </w:tc>
        <w:tc>
          <w:tcPr>
            <w:tcW w:w="770"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left="125"/>
              <w:jc w:val="center"/>
            </w:pPr>
            <w:r w:rsidRPr="00F604B8">
              <w:rPr>
                <w:rFonts w:eastAsia="Gill Sans MT"/>
                <w:sz w:val="24"/>
              </w:rPr>
              <w:t>ZP</w:t>
            </w:r>
          </w:p>
        </w:tc>
        <w:tc>
          <w:tcPr>
            <w:tcW w:w="94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75"/>
              <w:jc w:val="center"/>
            </w:pPr>
            <w:proofErr w:type="spellStart"/>
            <w:r w:rsidRPr="00F604B8">
              <w:rPr>
                <w:rFonts w:eastAsia="Gill Sans MT"/>
                <w:sz w:val="24"/>
              </w:rPr>
              <w:t>Prakt</w:t>
            </w:r>
            <w:proofErr w:type="spellEnd"/>
            <w:r w:rsidRPr="00F604B8">
              <w:rPr>
                <w:rFonts w:eastAsia="Gill Sans MT"/>
                <w:sz w:val="24"/>
              </w:rPr>
              <w:t>.</w:t>
            </w:r>
          </w:p>
        </w:tc>
        <w:tc>
          <w:tcPr>
            <w:tcW w:w="119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58"/>
              <w:jc w:val="center"/>
            </w:pPr>
            <w:r w:rsidRPr="00F604B8">
              <w:rPr>
                <w:rFonts w:eastAsia="Gill Sans MT"/>
                <w:sz w:val="24"/>
              </w:rPr>
              <w:t>Inne</w:t>
            </w:r>
          </w:p>
          <w:p w:rsidR="00BC0F0A" w:rsidRPr="00F604B8" w:rsidRDefault="00F604B8" w:rsidP="00CE341A">
            <w:pPr>
              <w:spacing w:after="0"/>
              <w:ind w:right="61"/>
              <w:jc w:val="center"/>
            </w:pPr>
            <w:r w:rsidRPr="00F604B8">
              <w:rPr>
                <w:rFonts w:eastAsia="Gill Sans MT"/>
                <w:sz w:val="24"/>
              </w:rPr>
              <w:t>(jakie?)</w:t>
            </w:r>
          </w:p>
        </w:tc>
        <w:tc>
          <w:tcPr>
            <w:tcW w:w="152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jc w:val="center"/>
            </w:pPr>
            <w:r w:rsidRPr="00F604B8">
              <w:rPr>
                <w:rFonts w:eastAsia="Gill Sans MT"/>
                <w:b/>
                <w:sz w:val="24"/>
              </w:rPr>
              <w:t>Liczba pkt</w:t>
            </w:r>
          </w:p>
          <w:p w:rsidR="00BC0F0A" w:rsidRPr="00F604B8" w:rsidRDefault="00F604B8" w:rsidP="00CE341A">
            <w:pPr>
              <w:spacing w:after="0"/>
              <w:ind w:right="69"/>
              <w:jc w:val="center"/>
            </w:pPr>
            <w:r w:rsidRPr="00F604B8">
              <w:rPr>
                <w:rFonts w:eastAsia="Gill Sans MT"/>
                <w:b/>
                <w:sz w:val="24"/>
              </w:rPr>
              <w:t>ECTS</w:t>
            </w:r>
          </w:p>
        </w:tc>
      </w:tr>
      <w:tr w:rsidR="00BC0F0A" w:rsidRPr="00F604B8" w:rsidTr="00CE341A">
        <w:trPr>
          <w:trHeight w:val="463"/>
        </w:trPr>
        <w:tc>
          <w:tcPr>
            <w:tcW w:w="103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49"/>
              <w:jc w:val="center"/>
            </w:pPr>
            <w:r w:rsidRPr="00F604B8">
              <w:rPr>
                <w:rFonts w:eastAsia="Gill Sans MT"/>
                <w:sz w:val="24"/>
              </w:rPr>
              <w:t>3</w:t>
            </w:r>
          </w:p>
        </w:tc>
        <w:tc>
          <w:tcPr>
            <w:tcW w:w="909"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79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840"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44"/>
              <w:jc w:val="center"/>
            </w:pPr>
            <w:r w:rsidRPr="00F604B8">
              <w:rPr>
                <w:rFonts w:eastAsia="Gill Sans MT"/>
                <w:sz w:val="24"/>
              </w:rPr>
              <w:t>9</w:t>
            </w:r>
          </w:p>
        </w:tc>
        <w:tc>
          <w:tcPr>
            <w:tcW w:w="80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816"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770"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94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1191"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BC0F0A" w:rsidP="00CE341A">
            <w:pPr>
              <w:jc w:val="center"/>
            </w:pPr>
          </w:p>
        </w:tc>
        <w:tc>
          <w:tcPr>
            <w:tcW w:w="1525"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rsidP="00CE341A">
            <w:pPr>
              <w:spacing w:after="0"/>
              <w:ind w:right="54"/>
              <w:jc w:val="center"/>
            </w:pPr>
            <w:r w:rsidRPr="00F604B8">
              <w:rPr>
                <w:rFonts w:eastAsia="Gill Sans MT"/>
                <w:sz w:val="24"/>
              </w:rPr>
              <w:t>4</w:t>
            </w:r>
          </w:p>
        </w:tc>
      </w:tr>
    </w:tbl>
    <w:p w:rsidR="006B6EE8" w:rsidRDefault="006B6EE8">
      <w:pPr>
        <w:pStyle w:val="Nagwek1"/>
        <w:ind w:left="290" w:right="0"/>
        <w:rPr>
          <w:rFonts w:ascii="Calibri" w:hAnsi="Calibri" w:cs="Calibri"/>
        </w:rPr>
      </w:pPr>
    </w:p>
    <w:p w:rsidR="00BC0F0A" w:rsidRPr="00F604B8" w:rsidRDefault="00F604B8">
      <w:pPr>
        <w:pStyle w:val="Nagwek1"/>
        <w:ind w:left="290" w:right="0"/>
        <w:rPr>
          <w:rFonts w:ascii="Calibri" w:hAnsi="Calibri" w:cs="Calibri"/>
        </w:rPr>
      </w:pPr>
      <w:r w:rsidRPr="00F604B8">
        <w:rPr>
          <w:rFonts w:ascii="Calibri" w:hAnsi="Calibri" w:cs="Calibri"/>
        </w:rPr>
        <w:t xml:space="preserve">1.2.Sposób realizacji zajęć  </w:t>
      </w:r>
    </w:p>
    <w:p w:rsidR="00BC0F0A" w:rsidRPr="00F604B8" w:rsidRDefault="00F604B8">
      <w:pPr>
        <w:spacing w:after="287"/>
        <w:ind w:left="715" w:hanging="10"/>
      </w:pPr>
      <w:r w:rsidRPr="00F604B8">
        <w:rPr>
          <w:rFonts w:ascii="Segoe UI Symbol" w:hAnsi="Segoe UI Symbol" w:cs="Segoe UI Symbol"/>
          <w:sz w:val="24"/>
        </w:rPr>
        <w:t>☐</w:t>
      </w:r>
      <w:r w:rsidRPr="00F604B8">
        <w:rPr>
          <w:rFonts w:eastAsia="Gill Sans MT"/>
          <w:sz w:val="24"/>
        </w:rPr>
        <w:t xml:space="preserve"> zajęcia w formie tradycyjnej </w:t>
      </w:r>
    </w:p>
    <w:p w:rsidR="00BC0F0A" w:rsidRPr="00F604B8" w:rsidRDefault="00F604B8">
      <w:pPr>
        <w:pStyle w:val="Nagwek2"/>
        <w:ind w:left="290" w:right="0"/>
        <w:rPr>
          <w:rFonts w:ascii="Calibri" w:hAnsi="Calibri" w:cs="Calibri"/>
        </w:rPr>
      </w:pPr>
      <w:r w:rsidRPr="00F604B8">
        <w:rPr>
          <w:rFonts w:ascii="Calibri" w:hAnsi="Calibri" w:cs="Calibri"/>
        </w:rPr>
        <w:lastRenderedPageBreak/>
        <w:t>1.3 Forma zaliczenia przedmiotu</w:t>
      </w:r>
      <w:r>
        <w:rPr>
          <w:rFonts w:ascii="Calibri" w:hAnsi="Calibri" w:cs="Calibri"/>
        </w:rPr>
        <w:t xml:space="preserve">: </w:t>
      </w:r>
      <w:r w:rsidRPr="00F604B8">
        <w:rPr>
          <w:rFonts w:ascii="Calibri" w:hAnsi="Calibri" w:cs="Calibri"/>
          <w:u w:val="single"/>
        </w:rPr>
        <w:t>zaliczenie z oceną</w:t>
      </w:r>
    </w:p>
    <w:p w:rsidR="007B7A4D" w:rsidRDefault="007B7A4D" w:rsidP="00F604B8">
      <w:pPr>
        <w:spacing w:after="0" w:line="264" w:lineRule="auto"/>
        <w:ind w:left="-6" w:hanging="11"/>
        <w:rPr>
          <w:rFonts w:eastAsia="Gill Sans MT"/>
          <w:b/>
          <w:sz w:val="24"/>
        </w:rPr>
      </w:pPr>
    </w:p>
    <w:p w:rsidR="00BC0F0A" w:rsidRDefault="00F604B8" w:rsidP="00F604B8">
      <w:pPr>
        <w:spacing w:after="0" w:line="264" w:lineRule="auto"/>
        <w:ind w:left="-6" w:hanging="11"/>
        <w:rPr>
          <w:rFonts w:eastAsia="Gill Sans MT"/>
          <w:b/>
          <w:sz w:val="24"/>
        </w:rPr>
      </w:pPr>
      <w:r w:rsidRPr="00F604B8">
        <w:rPr>
          <w:rFonts w:eastAsia="Gill Sans MT"/>
          <w:b/>
          <w:sz w:val="24"/>
        </w:rPr>
        <w:t>2.W</w:t>
      </w:r>
      <w:r w:rsidRPr="00F604B8">
        <w:rPr>
          <w:rFonts w:eastAsia="Gill Sans MT"/>
          <w:b/>
          <w:sz w:val="19"/>
        </w:rPr>
        <w:t>YMAGANIA</w:t>
      </w:r>
      <w:r w:rsidRPr="00F604B8">
        <w:rPr>
          <w:rFonts w:eastAsia="Gill Sans MT"/>
          <w:b/>
          <w:sz w:val="24"/>
        </w:rPr>
        <w:t xml:space="preserve"> </w:t>
      </w:r>
      <w:r w:rsidRPr="00F604B8">
        <w:rPr>
          <w:rFonts w:eastAsia="Gill Sans MT"/>
          <w:b/>
          <w:sz w:val="19"/>
        </w:rPr>
        <w:t>WSTĘPNE</w:t>
      </w:r>
      <w:r w:rsidRPr="00F604B8">
        <w:rPr>
          <w:rFonts w:eastAsia="Gill Sans MT"/>
          <w:b/>
          <w:sz w:val="24"/>
        </w:rPr>
        <w:t xml:space="preserve"> </w:t>
      </w:r>
    </w:p>
    <w:p w:rsidR="008776FA" w:rsidRPr="00F604B8" w:rsidRDefault="008776FA" w:rsidP="00F604B8">
      <w:pPr>
        <w:spacing w:after="0" w:line="264" w:lineRule="auto"/>
        <w:ind w:left="-6" w:hanging="11"/>
      </w:pPr>
    </w:p>
    <w:p w:rsidR="00BC0F0A" w:rsidRPr="00F604B8" w:rsidRDefault="00F604B8" w:rsidP="008776FA">
      <w:pPr>
        <w:pBdr>
          <w:top w:val="single" w:sz="4" w:space="0" w:color="7F7F7F"/>
          <w:left w:val="single" w:sz="4" w:space="0" w:color="7F7F7F"/>
          <w:bottom w:val="single" w:sz="4" w:space="0" w:color="7F7F7F"/>
          <w:right w:val="single" w:sz="4" w:space="0" w:color="7F7F7F"/>
        </w:pBdr>
        <w:spacing w:after="0"/>
        <w:ind w:left="108"/>
      </w:pPr>
      <w:r>
        <w:rPr>
          <w:rFonts w:eastAsia="Gill Sans MT"/>
          <w:sz w:val="24"/>
        </w:rPr>
        <w:t>Ogólna znajomość prawa cywilnego i umów handlowych</w:t>
      </w:r>
    </w:p>
    <w:p w:rsidR="008776FA" w:rsidRDefault="008776FA">
      <w:pPr>
        <w:spacing w:after="0" w:line="265" w:lineRule="auto"/>
        <w:ind w:left="-5" w:hanging="10"/>
        <w:rPr>
          <w:rFonts w:eastAsia="Gill Sans MT"/>
          <w:b/>
          <w:sz w:val="24"/>
        </w:rPr>
      </w:pPr>
    </w:p>
    <w:p w:rsidR="00BC0F0A" w:rsidRDefault="00F604B8" w:rsidP="008776FA">
      <w:pPr>
        <w:spacing w:after="0" w:line="265" w:lineRule="auto"/>
        <w:ind w:left="-5" w:firstLine="5"/>
        <w:rPr>
          <w:rFonts w:eastAsia="Gill Sans MT"/>
          <w:b/>
          <w:sz w:val="19"/>
        </w:rPr>
      </w:pPr>
      <w:r w:rsidRPr="00F604B8">
        <w:rPr>
          <w:rFonts w:eastAsia="Gill Sans MT"/>
          <w:b/>
          <w:sz w:val="24"/>
        </w:rPr>
        <w:t xml:space="preserve">3. </w:t>
      </w:r>
      <w:r w:rsidRPr="00F604B8">
        <w:rPr>
          <w:rFonts w:eastAsia="Gill Sans MT"/>
          <w:b/>
          <w:sz w:val="19"/>
        </w:rPr>
        <w:t>CELE</w:t>
      </w:r>
      <w:r w:rsidRPr="00F604B8">
        <w:rPr>
          <w:rFonts w:eastAsia="Gill Sans MT"/>
          <w:b/>
          <w:sz w:val="24"/>
        </w:rPr>
        <w:t xml:space="preserve">, </w:t>
      </w:r>
      <w:r w:rsidRPr="00F604B8">
        <w:rPr>
          <w:rFonts w:eastAsia="Gill Sans MT"/>
          <w:b/>
          <w:sz w:val="19"/>
        </w:rPr>
        <w:t>EFEKTY</w:t>
      </w:r>
      <w:r w:rsidRPr="00F604B8">
        <w:rPr>
          <w:rFonts w:eastAsia="Gill Sans MT"/>
          <w:b/>
          <w:sz w:val="24"/>
        </w:rPr>
        <w:t xml:space="preserve"> </w:t>
      </w:r>
      <w:r w:rsidR="004F1BF7">
        <w:rPr>
          <w:rFonts w:eastAsia="Gill Sans MT"/>
          <w:b/>
          <w:sz w:val="19"/>
        </w:rPr>
        <w:t>uczenia się</w:t>
      </w:r>
      <w:r w:rsidRPr="00F604B8">
        <w:rPr>
          <w:rFonts w:eastAsia="Gill Sans MT"/>
          <w:b/>
          <w:sz w:val="24"/>
        </w:rPr>
        <w:t xml:space="preserve">, </w:t>
      </w:r>
      <w:r w:rsidRPr="00F604B8">
        <w:rPr>
          <w:rFonts w:eastAsia="Gill Sans MT"/>
          <w:b/>
          <w:sz w:val="19"/>
        </w:rPr>
        <w:t>TREŚCI</w:t>
      </w:r>
      <w:r w:rsidRPr="00F604B8">
        <w:rPr>
          <w:rFonts w:eastAsia="Gill Sans MT"/>
          <w:b/>
          <w:sz w:val="24"/>
        </w:rPr>
        <w:t xml:space="preserve"> P</w:t>
      </w:r>
      <w:r w:rsidRPr="00F604B8">
        <w:rPr>
          <w:rFonts w:eastAsia="Gill Sans MT"/>
          <w:b/>
          <w:sz w:val="19"/>
        </w:rPr>
        <w:t>ROGRAMOWE</w:t>
      </w:r>
      <w:r w:rsidRPr="00F604B8">
        <w:rPr>
          <w:rFonts w:eastAsia="Gill Sans MT"/>
          <w:b/>
          <w:sz w:val="24"/>
        </w:rPr>
        <w:t xml:space="preserve"> </w:t>
      </w:r>
      <w:r w:rsidRPr="00F604B8">
        <w:rPr>
          <w:rFonts w:eastAsia="Gill Sans MT"/>
          <w:b/>
          <w:sz w:val="19"/>
        </w:rPr>
        <w:t>I</w:t>
      </w:r>
      <w:r w:rsidRPr="00F604B8">
        <w:rPr>
          <w:rFonts w:eastAsia="Gill Sans MT"/>
          <w:b/>
          <w:sz w:val="24"/>
        </w:rPr>
        <w:t xml:space="preserve"> </w:t>
      </w:r>
      <w:r w:rsidRPr="00F604B8">
        <w:rPr>
          <w:rFonts w:eastAsia="Gill Sans MT"/>
          <w:b/>
          <w:sz w:val="19"/>
        </w:rPr>
        <w:t>STOSOWANE</w:t>
      </w:r>
      <w:r w:rsidRPr="00F604B8">
        <w:rPr>
          <w:rFonts w:eastAsia="Gill Sans MT"/>
          <w:b/>
          <w:sz w:val="24"/>
        </w:rPr>
        <w:t xml:space="preserve"> </w:t>
      </w:r>
      <w:r w:rsidRPr="00F604B8">
        <w:rPr>
          <w:rFonts w:eastAsia="Gill Sans MT"/>
          <w:b/>
          <w:sz w:val="19"/>
        </w:rPr>
        <w:t>METODY</w:t>
      </w:r>
      <w:r w:rsidRPr="00F604B8">
        <w:rPr>
          <w:rFonts w:eastAsia="Gill Sans MT"/>
          <w:b/>
          <w:sz w:val="24"/>
        </w:rPr>
        <w:t xml:space="preserve"> D</w:t>
      </w:r>
      <w:r w:rsidRPr="00F604B8">
        <w:rPr>
          <w:rFonts w:eastAsia="Gill Sans MT"/>
          <w:b/>
          <w:sz w:val="19"/>
        </w:rPr>
        <w:t>YDAKTYCZNE</w:t>
      </w:r>
    </w:p>
    <w:p w:rsidR="00FF5AB7" w:rsidRPr="00F604B8" w:rsidRDefault="00FF5AB7" w:rsidP="008776FA">
      <w:pPr>
        <w:spacing w:after="0" w:line="265" w:lineRule="auto"/>
        <w:ind w:left="-5" w:firstLine="5"/>
      </w:pPr>
    </w:p>
    <w:p w:rsidR="00BC0F0A" w:rsidRDefault="00F604B8">
      <w:pPr>
        <w:pStyle w:val="Nagwek2"/>
        <w:ind w:left="370" w:right="0"/>
        <w:rPr>
          <w:rFonts w:ascii="Calibri" w:hAnsi="Calibri" w:cs="Calibri"/>
        </w:rPr>
      </w:pPr>
      <w:r w:rsidRPr="00F604B8">
        <w:rPr>
          <w:rFonts w:ascii="Calibri" w:hAnsi="Calibri" w:cs="Calibri"/>
        </w:rPr>
        <w:t xml:space="preserve">3.1 Cele przedmiotu </w:t>
      </w:r>
    </w:p>
    <w:p w:rsidR="001823F3" w:rsidRPr="001823F3" w:rsidRDefault="001823F3" w:rsidP="001823F3"/>
    <w:tbl>
      <w:tblPr>
        <w:tblStyle w:val="TableGrid"/>
        <w:tblW w:w="9514" w:type="dxa"/>
        <w:tblInd w:w="107" w:type="dxa"/>
        <w:tblCellMar>
          <w:top w:w="65" w:type="dxa"/>
          <w:left w:w="76" w:type="dxa"/>
          <w:right w:w="39" w:type="dxa"/>
        </w:tblCellMar>
        <w:tblLook w:val="04A0" w:firstRow="1" w:lastRow="0" w:firstColumn="1" w:lastColumn="0" w:noHBand="0" w:noVBand="1"/>
      </w:tblPr>
      <w:tblGrid>
        <w:gridCol w:w="837"/>
        <w:gridCol w:w="8677"/>
      </w:tblGrid>
      <w:tr w:rsidR="00BC0F0A" w:rsidRPr="00F604B8">
        <w:trPr>
          <w:trHeight w:val="1361"/>
        </w:trPr>
        <w:tc>
          <w:tcPr>
            <w:tcW w:w="837"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pPr>
              <w:spacing w:after="0"/>
              <w:ind w:left="17"/>
            </w:pPr>
            <w:r w:rsidRPr="00F604B8">
              <w:rPr>
                <w:rFonts w:eastAsia="Gill Sans MT"/>
                <w:sz w:val="24"/>
              </w:rPr>
              <w:t xml:space="preserve">C1 </w:t>
            </w:r>
          </w:p>
        </w:tc>
        <w:tc>
          <w:tcPr>
            <w:tcW w:w="8677"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right="55"/>
              <w:jc w:val="both"/>
            </w:pPr>
            <w:r w:rsidRPr="00F604B8">
              <w:rPr>
                <w:rFonts w:eastAsia="Times New Roman"/>
              </w:rPr>
              <w:t>Konwersatorium ma</w:t>
            </w:r>
            <w:r>
              <w:rPr>
                <w:rFonts w:eastAsia="Times New Roman"/>
              </w:rPr>
              <w:t xml:space="preserve"> </w:t>
            </w:r>
            <w:r w:rsidRPr="00F604B8">
              <w:rPr>
                <w:rFonts w:eastAsia="Times New Roman"/>
              </w:rPr>
              <w:t>prezentować teoretyczną i praktyczną wiedzę z prawa rynków kapitałowych. Podjęta tematyka omawia powszechnie dostępne instrumenty finansowe, dając możliwość prowadzenia ożywionej dyskusji w zakresie prawnych instrumentów dostępnych podmiotom stosunku cywilnoprawnego. Przedstawione zostaną również organy regulujące rynek kapitałowy posiadające kompetencje nadzorcze i kontrolne.</w:t>
            </w:r>
          </w:p>
        </w:tc>
      </w:tr>
    </w:tbl>
    <w:p w:rsidR="001823F3" w:rsidRDefault="001823F3" w:rsidP="00F604B8">
      <w:pPr>
        <w:spacing w:after="0"/>
        <w:ind w:left="10" w:right="918" w:hanging="10"/>
        <w:rPr>
          <w:rFonts w:eastAsia="Gill Sans MT"/>
          <w:b/>
          <w:sz w:val="24"/>
        </w:rPr>
      </w:pPr>
    </w:p>
    <w:p w:rsidR="00BC0F0A" w:rsidRDefault="00F604B8" w:rsidP="00F604B8">
      <w:pPr>
        <w:spacing w:after="0"/>
        <w:ind w:left="10" w:right="918" w:hanging="10"/>
        <w:rPr>
          <w:rFonts w:eastAsia="Gill Sans MT"/>
          <w:b/>
          <w:sz w:val="24"/>
        </w:rPr>
      </w:pPr>
      <w:r w:rsidRPr="00F604B8">
        <w:rPr>
          <w:rFonts w:eastAsia="Gill Sans MT"/>
          <w:b/>
          <w:sz w:val="24"/>
        </w:rPr>
        <w:t xml:space="preserve">3.2 Efekty </w:t>
      </w:r>
      <w:r w:rsidR="001823F3">
        <w:rPr>
          <w:rFonts w:eastAsia="Gill Sans MT"/>
          <w:b/>
          <w:sz w:val="24"/>
        </w:rPr>
        <w:t>uczenia się</w:t>
      </w:r>
      <w:r w:rsidRPr="00F604B8">
        <w:rPr>
          <w:rFonts w:eastAsia="Gill Sans MT"/>
          <w:b/>
          <w:sz w:val="24"/>
        </w:rPr>
        <w:t xml:space="preserve"> dla przedmiotu</w:t>
      </w:r>
    </w:p>
    <w:p w:rsidR="001823F3" w:rsidRPr="00F604B8" w:rsidRDefault="001823F3" w:rsidP="00F604B8">
      <w:pPr>
        <w:spacing w:after="0"/>
        <w:ind w:left="10" w:right="918" w:hanging="10"/>
      </w:pPr>
    </w:p>
    <w:tbl>
      <w:tblPr>
        <w:tblStyle w:val="TableGrid"/>
        <w:tblW w:w="9514" w:type="dxa"/>
        <w:tblInd w:w="107" w:type="dxa"/>
        <w:tblCellMar>
          <w:top w:w="51" w:type="dxa"/>
          <w:left w:w="79" w:type="dxa"/>
          <w:right w:w="31" w:type="dxa"/>
        </w:tblCellMar>
        <w:tblLook w:val="04A0" w:firstRow="1" w:lastRow="0" w:firstColumn="1" w:lastColumn="0" w:noHBand="0" w:noVBand="1"/>
      </w:tblPr>
      <w:tblGrid>
        <w:gridCol w:w="1674"/>
        <w:gridCol w:w="5997"/>
        <w:gridCol w:w="1843"/>
      </w:tblGrid>
      <w:tr w:rsidR="00BC0F0A" w:rsidRPr="00F604B8">
        <w:trPr>
          <w:trHeight w:val="1290"/>
        </w:trPr>
        <w:tc>
          <w:tcPr>
            <w:tcW w:w="1674"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pPr>
              <w:spacing w:after="0"/>
              <w:jc w:val="center"/>
            </w:pPr>
            <w:r w:rsidRPr="00F604B8">
              <w:rPr>
                <w:rFonts w:eastAsia="Gill Sans MT"/>
                <w:b/>
                <w:sz w:val="24"/>
              </w:rPr>
              <w:t>EK</w:t>
            </w:r>
            <w:r w:rsidRPr="00F604B8">
              <w:rPr>
                <w:rFonts w:eastAsia="Gill Sans MT"/>
                <w:sz w:val="24"/>
              </w:rPr>
              <w:t xml:space="preserve"> (efekt </w:t>
            </w:r>
            <w:r w:rsidR="004F1BF7">
              <w:rPr>
                <w:rFonts w:eastAsia="Gill Sans MT"/>
                <w:sz w:val="24"/>
              </w:rPr>
              <w:t>uczenia się</w:t>
            </w:r>
            <w:r w:rsidRPr="00F604B8">
              <w:rPr>
                <w:rFonts w:eastAsia="Gill Sans MT"/>
                <w:sz w:val="24"/>
              </w:rPr>
              <w:t>)</w:t>
            </w:r>
          </w:p>
        </w:tc>
        <w:tc>
          <w:tcPr>
            <w:tcW w:w="5998"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pPr>
              <w:spacing w:after="0"/>
              <w:ind w:right="37"/>
              <w:jc w:val="center"/>
            </w:pPr>
            <w:r w:rsidRPr="00F604B8">
              <w:rPr>
                <w:rFonts w:eastAsia="Gill Sans MT"/>
                <w:sz w:val="24"/>
              </w:rPr>
              <w:t xml:space="preserve">Treść efektu </w:t>
            </w:r>
            <w:r w:rsidR="002C3FDA">
              <w:rPr>
                <w:rFonts w:eastAsia="Gill Sans MT"/>
                <w:sz w:val="24"/>
              </w:rPr>
              <w:t>uczenia się</w:t>
            </w:r>
            <w:r w:rsidRPr="00F604B8">
              <w:rPr>
                <w:rFonts w:eastAsia="Gill Sans MT"/>
                <w:sz w:val="24"/>
              </w:rPr>
              <w:t xml:space="preserve"> zdefiniowanego dla przedmiotu </w:t>
            </w:r>
          </w:p>
          <w:p w:rsidR="00BC0F0A" w:rsidRPr="00F604B8" w:rsidRDefault="00BC0F0A">
            <w:pPr>
              <w:spacing w:after="0"/>
              <w:ind w:right="50"/>
              <w:jc w:val="center"/>
            </w:pP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line="239" w:lineRule="auto"/>
              <w:jc w:val="center"/>
            </w:pPr>
            <w:r w:rsidRPr="00F604B8">
              <w:rPr>
                <w:rFonts w:eastAsia="Gill Sans MT"/>
                <w:sz w:val="24"/>
              </w:rPr>
              <w:t xml:space="preserve">Odniesienie do efektów  </w:t>
            </w:r>
          </w:p>
          <w:p w:rsidR="00BC0F0A" w:rsidRPr="00F604B8" w:rsidRDefault="00F604B8" w:rsidP="004F1BF7">
            <w:pPr>
              <w:spacing w:after="0"/>
              <w:ind w:right="67"/>
              <w:jc w:val="center"/>
            </w:pPr>
            <w:r w:rsidRPr="00F604B8">
              <w:rPr>
                <w:rFonts w:eastAsia="Gill Sans MT"/>
                <w:sz w:val="24"/>
              </w:rPr>
              <w:t>kierunkowych</w:t>
            </w:r>
          </w:p>
        </w:tc>
      </w:tr>
      <w:tr w:rsidR="00BC0F0A" w:rsidRPr="00F604B8">
        <w:trPr>
          <w:trHeight w:val="1224"/>
        </w:trPr>
        <w:tc>
          <w:tcPr>
            <w:tcW w:w="167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4"/>
            </w:pPr>
            <w:r w:rsidRPr="00F604B8">
              <w:rPr>
                <w:rFonts w:eastAsia="Gill Sans MT"/>
                <w:sz w:val="24"/>
              </w:rPr>
              <w:t>EK_01</w:t>
            </w:r>
          </w:p>
        </w:tc>
        <w:tc>
          <w:tcPr>
            <w:tcW w:w="59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right="60"/>
              <w:jc w:val="both"/>
            </w:pPr>
            <w:r w:rsidRPr="00F604B8">
              <w:rPr>
                <w:rFonts w:eastAsia="Times New Roman"/>
                <w:sz w:val="23"/>
              </w:rPr>
              <w:t>Wykazuje się szczegółową wiedzą na temat instytucji i zasad działania organów administracji publicznej zajmujących się regulacją rynku kapitałowego, ich genezy i ewolucji oraz wykonywanych przez nie zadań.</w:t>
            </w: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2"/>
            </w:pPr>
            <w:r w:rsidRPr="00F604B8">
              <w:rPr>
                <w:rFonts w:eastAsia="Gill Sans MT"/>
                <w:sz w:val="24"/>
              </w:rPr>
              <w:t>K_W02</w:t>
            </w:r>
          </w:p>
        </w:tc>
      </w:tr>
      <w:tr w:rsidR="00BC0F0A" w:rsidRPr="00F604B8">
        <w:trPr>
          <w:trHeight w:val="1773"/>
        </w:trPr>
        <w:tc>
          <w:tcPr>
            <w:tcW w:w="167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4"/>
            </w:pPr>
            <w:r w:rsidRPr="00F604B8">
              <w:rPr>
                <w:rFonts w:eastAsia="Gill Sans MT"/>
                <w:sz w:val="24"/>
              </w:rPr>
              <w:t>EK_02</w:t>
            </w:r>
          </w:p>
        </w:tc>
        <w:tc>
          <w:tcPr>
            <w:tcW w:w="59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right="60"/>
              <w:jc w:val="both"/>
            </w:pPr>
            <w:r w:rsidRPr="00F604B8">
              <w:rPr>
                <w:rFonts w:eastAsia="Times New Roman"/>
                <w:sz w:val="23"/>
              </w:rPr>
              <w:t xml:space="preserve">Potrafi właściwie dobierać źródła oraz informacje, pozyskiwać dane dla analizowania procesów i zjawisk a także prawidłowo posługiwać się wiedzą z zakresu nauk o prawie i administracji oraz podstawową wiedzą interdyscyplinarną do tworzenia nietypowych i innowacyjnych rozwiązań problemów z zakresu prawa papierów wartościowych. </w:t>
            </w: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2"/>
            </w:pPr>
            <w:r w:rsidRPr="00F604B8">
              <w:rPr>
                <w:rFonts w:eastAsia="Gill Sans MT"/>
                <w:sz w:val="24"/>
              </w:rPr>
              <w:t>K_U04</w:t>
            </w:r>
          </w:p>
        </w:tc>
      </w:tr>
      <w:tr w:rsidR="00BC0F0A" w:rsidRPr="00F604B8">
        <w:trPr>
          <w:trHeight w:val="949"/>
        </w:trPr>
        <w:tc>
          <w:tcPr>
            <w:tcW w:w="167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4"/>
            </w:pPr>
            <w:r w:rsidRPr="00F604B8">
              <w:rPr>
                <w:rFonts w:eastAsia="Gill Sans MT"/>
                <w:sz w:val="24"/>
              </w:rPr>
              <w:t>EK_03</w:t>
            </w:r>
          </w:p>
        </w:tc>
        <w:tc>
          <w:tcPr>
            <w:tcW w:w="59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right="60"/>
              <w:jc w:val="both"/>
            </w:pPr>
            <w:r w:rsidRPr="00F604B8">
              <w:rPr>
                <w:rFonts w:eastAsia="Times New Roman"/>
                <w:sz w:val="23"/>
              </w:rPr>
              <w:t>Potrafi działać w sposób przedsiębiorczy, wykorzystując wiedzę i umiejętności zdobyte w trakcie studiów poruszając się na rynku papierów wartościowych.</w:t>
            </w: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2"/>
            </w:pPr>
            <w:r w:rsidRPr="00F604B8">
              <w:rPr>
                <w:rFonts w:eastAsia="Gill Sans MT"/>
                <w:sz w:val="24"/>
              </w:rPr>
              <w:t>K_K0</w:t>
            </w:r>
            <w:r w:rsidR="004F1BF7">
              <w:rPr>
                <w:rFonts w:eastAsia="Gill Sans MT"/>
                <w:sz w:val="24"/>
              </w:rPr>
              <w:t>6</w:t>
            </w:r>
          </w:p>
        </w:tc>
      </w:tr>
      <w:tr w:rsidR="00BC0F0A" w:rsidRPr="00F604B8">
        <w:trPr>
          <w:trHeight w:val="1660"/>
        </w:trPr>
        <w:tc>
          <w:tcPr>
            <w:tcW w:w="167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4"/>
            </w:pPr>
            <w:r w:rsidRPr="00F604B8">
              <w:rPr>
                <w:rFonts w:eastAsia="Gill Sans MT"/>
                <w:sz w:val="24"/>
              </w:rPr>
              <w:t>EK_04</w:t>
            </w:r>
          </w:p>
        </w:tc>
        <w:tc>
          <w:tcPr>
            <w:tcW w:w="59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right="60"/>
              <w:jc w:val="both"/>
            </w:pPr>
            <w:r w:rsidRPr="00F604B8">
              <w:rPr>
                <w:rFonts w:eastAsia="Times New Roman"/>
                <w:sz w:val="24"/>
              </w:rPr>
              <w:t>Posiada umiejętność logicznego myślenia, analizy i syntezy wiadomości z zakresu rynków kapitałowych, dzięki czemu potrafi przekonująco argumentować i interpretować zjawiska, administracyjne, prawne, społeczne, polityczne i ekonomiczne w trudnych problemach decyzyjnych.</w:t>
            </w: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2"/>
            </w:pPr>
            <w:r w:rsidRPr="00F604B8">
              <w:rPr>
                <w:rFonts w:eastAsia="Gill Sans MT"/>
                <w:sz w:val="24"/>
              </w:rPr>
              <w:t>K_U08</w:t>
            </w:r>
          </w:p>
        </w:tc>
      </w:tr>
      <w:tr w:rsidR="00BC0F0A" w:rsidRPr="00F604B8">
        <w:trPr>
          <w:trHeight w:val="760"/>
        </w:trPr>
        <w:tc>
          <w:tcPr>
            <w:tcW w:w="167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4"/>
            </w:pPr>
            <w:r w:rsidRPr="00F604B8">
              <w:rPr>
                <w:rFonts w:eastAsia="Gill Sans MT"/>
                <w:sz w:val="24"/>
              </w:rPr>
              <w:t>EK_05</w:t>
            </w:r>
          </w:p>
        </w:tc>
        <w:tc>
          <w:tcPr>
            <w:tcW w:w="59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jc w:val="both"/>
            </w:pPr>
            <w:r w:rsidRPr="00F604B8">
              <w:rPr>
                <w:rFonts w:eastAsia="Times New Roman"/>
                <w:sz w:val="24"/>
              </w:rPr>
              <w:t>Jest gotowy samodzielnie i krytycznie uzupełniać wiedzę, w tym również na gruncie interdyscyplinarnym.</w:t>
            </w:r>
          </w:p>
        </w:tc>
        <w:tc>
          <w:tcPr>
            <w:tcW w:w="1843"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2"/>
            </w:pPr>
            <w:r w:rsidRPr="00F604B8">
              <w:rPr>
                <w:rFonts w:eastAsia="Gill Sans MT"/>
                <w:sz w:val="24"/>
              </w:rPr>
              <w:t>K_K01</w:t>
            </w:r>
          </w:p>
        </w:tc>
      </w:tr>
    </w:tbl>
    <w:p w:rsidR="00C6747A" w:rsidRDefault="00C6747A">
      <w:pPr>
        <w:pStyle w:val="Nagwek2"/>
        <w:ind w:left="430" w:right="0"/>
        <w:rPr>
          <w:rFonts w:ascii="Calibri" w:hAnsi="Calibri" w:cs="Calibri"/>
        </w:rPr>
      </w:pPr>
    </w:p>
    <w:p w:rsidR="00BC0F0A" w:rsidRPr="00F604B8" w:rsidRDefault="00C6747A">
      <w:pPr>
        <w:pStyle w:val="Nagwek2"/>
        <w:ind w:left="430" w:right="0"/>
        <w:rPr>
          <w:rFonts w:ascii="Calibri" w:hAnsi="Calibri" w:cs="Calibri"/>
        </w:rPr>
      </w:pPr>
      <w:r>
        <w:rPr>
          <w:rFonts w:ascii="Calibri" w:hAnsi="Calibri" w:cs="Calibri"/>
        </w:rPr>
        <w:br w:type="column"/>
      </w:r>
      <w:r w:rsidR="00F604B8" w:rsidRPr="00F604B8">
        <w:rPr>
          <w:rFonts w:ascii="Calibri" w:hAnsi="Calibri" w:cs="Calibri"/>
        </w:rPr>
        <w:lastRenderedPageBreak/>
        <w:t xml:space="preserve">3.3 Treści programowe </w:t>
      </w:r>
    </w:p>
    <w:p w:rsidR="00BC0F0A" w:rsidRPr="00F604B8" w:rsidRDefault="00F604B8" w:rsidP="00F604B8">
      <w:pPr>
        <w:numPr>
          <w:ilvl w:val="0"/>
          <w:numId w:val="1"/>
        </w:numPr>
        <w:spacing w:after="98" w:line="240" w:lineRule="auto"/>
        <w:ind w:hanging="360"/>
      </w:pPr>
      <w:r w:rsidRPr="00F604B8">
        <w:rPr>
          <w:rFonts w:eastAsia="Gill Sans MT"/>
          <w:sz w:val="24"/>
        </w:rPr>
        <w:t>Problematyka wykładu</w:t>
      </w:r>
    </w:p>
    <w:p w:rsidR="00BC0F0A" w:rsidRPr="00F604B8" w:rsidRDefault="00F604B8" w:rsidP="00F604B8">
      <w:pPr>
        <w:numPr>
          <w:ilvl w:val="0"/>
          <w:numId w:val="1"/>
        </w:numPr>
        <w:spacing w:after="3" w:line="240" w:lineRule="auto"/>
        <w:ind w:hanging="360"/>
      </w:pPr>
      <w:r w:rsidRPr="00F604B8">
        <w:rPr>
          <w:rFonts w:eastAsia="Gill Sans MT"/>
          <w:sz w:val="24"/>
        </w:rPr>
        <w:t xml:space="preserve">Problematyka ćwiczeń audytoryjnych, konwersatoryjnych, </w:t>
      </w:r>
      <w:r w:rsidR="004F1BF7" w:rsidRPr="00F604B8">
        <w:rPr>
          <w:rFonts w:eastAsia="Gill Sans MT"/>
          <w:sz w:val="24"/>
        </w:rPr>
        <w:t>laboratoryjnych, zajęć</w:t>
      </w:r>
      <w:r w:rsidRPr="00F604B8">
        <w:rPr>
          <w:rFonts w:eastAsia="Gill Sans MT"/>
          <w:sz w:val="24"/>
        </w:rPr>
        <w:t xml:space="preserve"> praktycznych </w:t>
      </w:r>
    </w:p>
    <w:tbl>
      <w:tblPr>
        <w:tblStyle w:val="TableGrid"/>
        <w:tblW w:w="9514" w:type="dxa"/>
        <w:tblInd w:w="107" w:type="dxa"/>
        <w:tblCellMar>
          <w:top w:w="80" w:type="dxa"/>
          <w:left w:w="93" w:type="dxa"/>
          <w:right w:w="6" w:type="dxa"/>
        </w:tblCellMar>
        <w:tblLook w:val="04A0" w:firstRow="1" w:lastRow="0" w:firstColumn="1" w:lastColumn="0" w:noHBand="0" w:noVBand="1"/>
      </w:tblPr>
      <w:tblGrid>
        <w:gridCol w:w="9514"/>
      </w:tblGrid>
      <w:tr w:rsidR="00BC0F0A" w:rsidRPr="00F604B8">
        <w:trPr>
          <w:trHeight w:val="450"/>
        </w:trPr>
        <w:tc>
          <w:tcPr>
            <w:tcW w:w="951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sz w:val="24"/>
              </w:rPr>
              <w:t>Treści merytoryczne</w:t>
            </w:r>
          </w:p>
        </w:tc>
      </w:tr>
      <w:tr w:rsidR="00BC0F0A" w:rsidRPr="00F604B8" w:rsidTr="00F604B8">
        <w:trPr>
          <w:trHeight w:val="1895"/>
        </w:trPr>
        <w:tc>
          <w:tcPr>
            <w:tcW w:w="951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line="239" w:lineRule="auto"/>
              <w:ind w:right="71"/>
              <w:jc w:val="both"/>
            </w:pPr>
            <w:r w:rsidRPr="00F604B8">
              <w:rPr>
                <w:rFonts w:eastAsia="Gill Sans MT"/>
                <w:b/>
                <w:sz w:val="24"/>
              </w:rPr>
              <w:t>I Ogólna charakterystyka papierów wartościowych w zakresie źródeł prawa, pojęć, funkcji i praktycznego zastosowania następujących instrumentów finansowych:</w:t>
            </w:r>
          </w:p>
          <w:p w:rsidR="00BC0F0A" w:rsidRPr="00F604B8" w:rsidRDefault="00F604B8">
            <w:pPr>
              <w:spacing w:after="0"/>
              <w:ind w:right="71"/>
              <w:jc w:val="both"/>
            </w:pPr>
            <w:r w:rsidRPr="00F604B8">
              <w:rPr>
                <w:rFonts w:eastAsia="Gill Sans MT"/>
                <w:sz w:val="24"/>
              </w:rPr>
              <w:t>a) Weksla, b) Czeku, c) Akcji, d) Obligacji, e) Bonów komercyjnych, f) Konosamentu, g) Bankowych papierów wartościowych, h) Kwitów depozytowych</w:t>
            </w:r>
            <w:r>
              <w:rPr>
                <w:rFonts w:eastAsia="Gill Sans MT"/>
                <w:sz w:val="24"/>
              </w:rPr>
              <w:t>,</w:t>
            </w:r>
            <w:r w:rsidRPr="00F604B8">
              <w:rPr>
                <w:rFonts w:eastAsia="Gill Sans MT"/>
                <w:sz w:val="24"/>
              </w:rPr>
              <w:t xml:space="preserve"> i) Listów zastawnych, j) Znaków legitymacyjnych, k) Dowodu składowego jako znaku legitymacyjnego, l) Przekazu, m) Pochodnych transakcji terminowych.</w:t>
            </w:r>
          </w:p>
        </w:tc>
      </w:tr>
      <w:tr w:rsidR="00BC0F0A" w:rsidRPr="00F604B8">
        <w:trPr>
          <w:trHeight w:val="9132"/>
        </w:trPr>
        <w:tc>
          <w:tcPr>
            <w:tcW w:w="951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b/>
                <w:sz w:val="24"/>
              </w:rPr>
              <w:t>II Instytucje rynku papierów wartościowych:</w:t>
            </w:r>
          </w:p>
          <w:p w:rsidR="00BC0F0A" w:rsidRPr="00F604B8" w:rsidRDefault="00F604B8">
            <w:pPr>
              <w:spacing w:after="1" w:line="239" w:lineRule="auto"/>
              <w:ind w:right="3456"/>
            </w:pPr>
            <w:r w:rsidRPr="00F604B8">
              <w:rPr>
                <w:rFonts w:eastAsia="Gill Sans MT"/>
                <w:sz w:val="24"/>
              </w:rPr>
              <w:t>Ogólne informacje i pojęcia związane z rynkiem kapitałowym: a) Podział rynku finansowego</w:t>
            </w:r>
          </w:p>
          <w:p w:rsidR="00BC0F0A" w:rsidRPr="00F604B8" w:rsidRDefault="00F604B8">
            <w:pPr>
              <w:spacing w:after="0"/>
            </w:pPr>
            <w:r w:rsidRPr="00F604B8">
              <w:rPr>
                <w:rFonts w:eastAsia="Gill Sans MT"/>
                <w:sz w:val="24"/>
              </w:rPr>
              <w:t>b) Pojęcie rynku regulowanego.</w:t>
            </w:r>
          </w:p>
          <w:p w:rsidR="00BC0F0A" w:rsidRPr="00F604B8" w:rsidRDefault="00F604B8">
            <w:pPr>
              <w:spacing w:after="0"/>
            </w:pPr>
            <w:r w:rsidRPr="00F604B8">
              <w:rPr>
                <w:rFonts w:eastAsia="Gill Sans MT"/>
                <w:b/>
                <w:sz w:val="24"/>
              </w:rPr>
              <w:t>III Publiczny obrót papierami wartościowymi</w:t>
            </w:r>
          </w:p>
          <w:p w:rsidR="00BC0F0A" w:rsidRPr="00F604B8" w:rsidRDefault="00F604B8">
            <w:pPr>
              <w:numPr>
                <w:ilvl w:val="0"/>
                <w:numId w:val="3"/>
              </w:numPr>
              <w:spacing w:after="6" w:line="239" w:lineRule="auto"/>
              <w:ind w:right="71"/>
              <w:jc w:val="both"/>
            </w:pPr>
            <w:r w:rsidRPr="00F604B8">
              <w:rPr>
                <w:rFonts w:eastAsia="Gill Sans MT"/>
                <w:sz w:val="24"/>
              </w:rPr>
              <w:t>Giełda Papierów Wartościowych-</w:t>
            </w:r>
            <w:r w:rsidRPr="00F604B8">
              <w:rPr>
                <w:rFonts w:eastAsia="Gill Sans MT"/>
                <w:b/>
                <w:sz w:val="24"/>
              </w:rPr>
              <w:t xml:space="preserve"> </w:t>
            </w:r>
            <w:r w:rsidRPr="00F604B8">
              <w:rPr>
                <w:rFonts w:eastAsia="Gill Sans MT"/>
                <w:sz w:val="24"/>
              </w:rPr>
              <w:t>a) pojęcie, historia i obecny status Giełdy Papierów Wartościowych, b) wprowadzenie papierów wartościowych na Warszawską Giełdę Papierów Wartościowych, c) sesje giełdowe, system notowań spółek, d) podstawowe elementy transakcji giełdowej, e) wykluczenie papierów z obrotu giełdowego, f) strony transakcji giełdowych, g) wskaźniki i indeksy giełdowe,</w:t>
            </w:r>
          </w:p>
          <w:p w:rsidR="00BC0F0A" w:rsidRPr="00F604B8" w:rsidRDefault="00F604B8">
            <w:pPr>
              <w:numPr>
                <w:ilvl w:val="0"/>
                <w:numId w:val="3"/>
              </w:numPr>
              <w:spacing w:after="0" w:line="239" w:lineRule="auto"/>
              <w:ind w:right="71"/>
              <w:jc w:val="both"/>
            </w:pPr>
            <w:r w:rsidRPr="00F604B8">
              <w:rPr>
                <w:rFonts w:eastAsia="Gill Sans MT"/>
                <w:sz w:val="24"/>
              </w:rPr>
              <w:t>Giełdy towarowe: a) podstawowe pojęcia, b) tworzenie i zadania giełdy towarowej, c) członkowie giełdy towarowej, d) obrót giełdowy papierami majątkowymi, e) działalność maklerów towarowych, 3. Organy pośredniczące na rynku kapitałowym: a) domy maklerskie, b) maklerzy papierów wartościowych i doradcy inwestycyjni, c) doradztwo i zarządzanie cudzymi pakietami papierów wartościowych, d) instytucje związane z działalnością domów maklerskich- fundusz gwarancyjny, e) gwarancje bezpiecznego nadzoru.  2</w:t>
            </w:r>
          </w:p>
          <w:p w:rsidR="00BC0F0A" w:rsidRPr="00F604B8" w:rsidRDefault="00F604B8">
            <w:pPr>
              <w:spacing w:after="0"/>
            </w:pPr>
            <w:r w:rsidRPr="00F604B8">
              <w:rPr>
                <w:rFonts w:eastAsia="Gill Sans MT"/>
                <w:b/>
                <w:sz w:val="24"/>
              </w:rPr>
              <w:t>IV Ważniejsze organy regulujące rynek kapitałowy</w:t>
            </w:r>
          </w:p>
          <w:p w:rsidR="00BC0F0A" w:rsidRPr="00F604B8" w:rsidRDefault="00F604B8">
            <w:pPr>
              <w:numPr>
                <w:ilvl w:val="0"/>
                <w:numId w:val="4"/>
              </w:numPr>
              <w:spacing w:after="0"/>
              <w:ind w:hanging="240"/>
              <w:jc w:val="both"/>
            </w:pPr>
            <w:r w:rsidRPr="00F604B8">
              <w:rPr>
                <w:rFonts w:eastAsia="Gill Sans MT"/>
                <w:sz w:val="24"/>
              </w:rPr>
              <w:t xml:space="preserve">Komisja Nadzoru Finansowego: a) status prawny i główne zadania, b) skład komisji i jej uchwały, </w:t>
            </w:r>
          </w:p>
          <w:p w:rsidR="00BC0F0A" w:rsidRPr="00F604B8" w:rsidRDefault="00F604B8">
            <w:pPr>
              <w:spacing w:after="0"/>
              <w:ind w:left="240"/>
            </w:pPr>
            <w:r w:rsidRPr="00F604B8">
              <w:rPr>
                <w:rFonts w:eastAsia="Gill Sans MT"/>
                <w:sz w:val="24"/>
              </w:rPr>
              <w:t>c) najważniejsze kompetencje przewodniczącego KNF, d) postępowanie przed KNF</w:t>
            </w:r>
          </w:p>
          <w:p w:rsidR="00BC0F0A" w:rsidRPr="00F604B8" w:rsidRDefault="00F604B8">
            <w:pPr>
              <w:numPr>
                <w:ilvl w:val="0"/>
                <w:numId w:val="4"/>
              </w:numPr>
              <w:spacing w:after="0" w:line="240" w:lineRule="auto"/>
              <w:ind w:hanging="240"/>
              <w:jc w:val="both"/>
            </w:pPr>
            <w:r w:rsidRPr="00F604B8">
              <w:rPr>
                <w:rFonts w:eastAsia="Gill Sans MT"/>
                <w:sz w:val="24"/>
              </w:rPr>
              <w:t>Kontrola zachowań monopolowych dokonywana przez Komisję Nadzoru Finansowego oraz Prezesa Urzędu Ochrony Konkurencji i Konsumentów: a) kontrola zamiaru nabycia akcji powyżej kwalifikowanych progów, b) nabywanie akcji domów maklerskich w znacznych ilościach,</w:t>
            </w:r>
          </w:p>
          <w:p w:rsidR="00BC0F0A" w:rsidRPr="00F604B8" w:rsidRDefault="00F604B8">
            <w:pPr>
              <w:numPr>
                <w:ilvl w:val="0"/>
                <w:numId w:val="4"/>
              </w:numPr>
              <w:spacing w:after="0" w:line="239" w:lineRule="auto"/>
              <w:ind w:hanging="240"/>
              <w:jc w:val="both"/>
            </w:pPr>
            <w:r w:rsidRPr="00F604B8">
              <w:rPr>
                <w:rFonts w:eastAsia="Gill Sans MT"/>
                <w:sz w:val="24"/>
              </w:rPr>
              <w:t>Krajowy Depozyt Papierów Wartościowych: a) status prawny, b) uczestnicy Krajowego Depozytu Papierów Wartościowych, c) rejestrowanie papierów wartościowych, d) zasady niematerialnej formy papierów wartościowych, d) formy uczestnictwa w Krajowym Depozycie Papierów Wartościowych, e) ważniejsze operacje na papierach wartościowych dokonywane w Krajowym Depozycie Papierów Wartościowych</w:t>
            </w:r>
          </w:p>
          <w:p w:rsidR="00BC0F0A" w:rsidRPr="00F604B8" w:rsidRDefault="00F604B8">
            <w:pPr>
              <w:numPr>
                <w:ilvl w:val="0"/>
                <w:numId w:val="4"/>
              </w:numPr>
              <w:spacing w:after="0" w:line="240" w:lineRule="auto"/>
              <w:ind w:hanging="240"/>
              <w:jc w:val="both"/>
            </w:pPr>
            <w:r w:rsidRPr="00F604B8">
              <w:rPr>
                <w:rFonts w:eastAsia="Gill Sans MT"/>
                <w:sz w:val="24"/>
              </w:rPr>
              <w:t>Prezes Urzędu Ochrony Konkurencji i Konsumentów: a) nadzór nad towarzystwami i funduszami inwestycyjnymi, b) nadzór nad towarzystwami i funduszami emerytalnymi</w:t>
            </w:r>
          </w:p>
          <w:p w:rsidR="00BC0F0A" w:rsidRPr="00F604B8" w:rsidRDefault="00F604B8">
            <w:pPr>
              <w:numPr>
                <w:ilvl w:val="0"/>
                <w:numId w:val="4"/>
              </w:numPr>
              <w:spacing w:after="0"/>
              <w:ind w:hanging="240"/>
              <w:jc w:val="both"/>
            </w:pPr>
            <w:r w:rsidRPr="00F604B8">
              <w:rPr>
                <w:rFonts w:eastAsia="Gill Sans MT"/>
                <w:sz w:val="24"/>
              </w:rPr>
              <w:t>Depozytariusz w funduszach inwestycyjnych i emerytalnych</w:t>
            </w:r>
          </w:p>
          <w:p w:rsidR="00BC0F0A" w:rsidRPr="00F604B8" w:rsidRDefault="00F604B8">
            <w:pPr>
              <w:numPr>
                <w:ilvl w:val="0"/>
                <w:numId w:val="4"/>
              </w:numPr>
              <w:spacing w:after="0"/>
              <w:ind w:hanging="240"/>
              <w:jc w:val="both"/>
            </w:pPr>
            <w:r w:rsidRPr="00F604B8">
              <w:rPr>
                <w:rFonts w:eastAsia="Gill Sans MT"/>
                <w:sz w:val="24"/>
              </w:rPr>
              <w:t>Uprawnienia Prezesa Narodowego Banku Polskiego w zakresie obrotu papierami wartościowymi.</w:t>
            </w:r>
          </w:p>
        </w:tc>
      </w:tr>
    </w:tbl>
    <w:p w:rsidR="00BC0F0A" w:rsidRPr="00F604B8" w:rsidRDefault="00C6747A">
      <w:pPr>
        <w:pBdr>
          <w:top w:val="single" w:sz="4" w:space="0" w:color="7F7F7F"/>
          <w:left w:val="single" w:sz="4" w:space="0" w:color="7F7F7F"/>
          <w:bottom w:val="single" w:sz="4" w:space="0" w:color="7F7F7F"/>
          <w:right w:val="single" w:sz="4" w:space="0" w:color="7F7F7F"/>
        </w:pBdr>
        <w:spacing w:after="0"/>
        <w:ind w:left="185" w:right="85"/>
      </w:pPr>
      <w:r>
        <w:rPr>
          <w:rFonts w:eastAsia="Gill Sans MT"/>
          <w:b/>
          <w:sz w:val="24"/>
        </w:rPr>
        <w:br w:type="column"/>
      </w:r>
      <w:r w:rsidR="00F604B8" w:rsidRPr="00F604B8">
        <w:rPr>
          <w:rFonts w:eastAsia="Gill Sans MT"/>
          <w:b/>
          <w:sz w:val="24"/>
        </w:rPr>
        <w:lastRenderedPageBreak/>
        <w:t>V Inwestowanie i inwestorzy zbiorowi na rynku papierów wartościowych</w:t>
      </w:r>
    </w:p>
    <w:p w:rsidR="00BC0F0A" w:rsidRPr="00F604B8" w:rsidRDefault="00F604B8">
      <w:pPr>
        <w:numPr>
          <w:ilvl w:val="0"/>
          <w:numId w:val="2"/>
        </w:numPr>
        <w:pBdr>
          <w:top w:val="single" w:sz="4" w:space="0" w:color="7F7F7F"/>
          <w:left w:val="single" w:sz="4" w:space="0" w:color="7F7F7F"/>
          <w:bottom w:val="single" w:sz="4" w:space="0" w:color="7F7F7F"/>
          <w:right w:val="single" w:sz="4" w:space="0" w:color="7F7F7F"/>
        </w:pBdr>
        <w:spacing w:after="0" w:line="240" w:lineRule="auto"/>
        <w:ind w:right="85" w:hanging="240"/>
        <w:jc w:val="both"/>
      </w:pPr>
      <w:r w:rsidRPr="00F604B8">
        <w:rPr>
          <w:rFonts w:eastAsia="Gill Sans MT"/>
          <w:sz w:val="24"/>
        </w:rPr>
        <w:t>Inwestowanie w papiery wartościowe: a) ocenianie ryzyka, b) metody minimalizacji ryzyka, c) metody analizy technicznej i fundamentalnej, d) metody analizy wskaźnikowej</w:t>
      </w:r>
    </w:p>
    <w:p w:rsidR="00BC0F0A" w:rsidRPr="00F604B8" w:rsidRDefault="00F604B8">
      <w:pPr>
        <w:numPr>
          <w:ilvl w:val="0"/>
          <w:numId w:val="2"/>
        </w:numPr>
        <w:pBdr>
          <w:top w:val="single" w:sz="4" w:space="0" w:color="7F7F7F"/>
          <w:left w:val="single" w:sz="4" w:space="0" w:color="7F7F7F"/>
          <w:bottom w:val="single" w:sz="4" w:space="0" w:color="7F7F7F"/>
          <w:right w:val="single" w:sz="4" w:space="0" w:color="7F7F7F"/>
        </w:pBdr>
        <w:spacing w:after="0" w:line="240" w:lineRule="auto"/>
        <w:ind w:right="85" w:hanging="240"/>
        <w:jc w:val="both"/>
      </w:pPr>
      <w:r w:rsidRPr="00F604B8">
        <w:rPr>
          <w:rFonts w:eastAsia="Gill Sans MT"/>
          <w:sz w:val="24"/>
        </w:rPr>
        <w:t xml:space="preserve">Fundusze inwestycyjne: a) Ogólna charakterystyka i podstawowe elementy ułatwiające ich odróżnianie, b) Fundusze inwestycyjne – podstawa prawna, c) Procedura tworzenia towarzystwa funduszy inwestycyjnych, d) Tworzenie funduszy inwestycyjnych, e) Zbywanie jednostek uczestnictwa albo certyfikatów, f) Fundusz inwestycyjny otwarty, g) Specjalistyczne fundusze inwestycyjne otwarte, h) Fundusze inwestycyjne zamknięte, i) Inne fundusze inwestycyjne, j) Fundusze inwestycyjne mieszane, k) Ustawowe instrumenty służące do zmniejszania ryzyka inwestycyjnego, l) Przekształcenie funduszy, m) Likwidacje funduszy inwestycyjnych, n) Ważniejsze różnice pomiędzy inwestycyjnym funduszem otwartym a zamkniętym.  </w:t>
      </w:r>
    </w:p>
    <w:p w:rsidR="00BC0F0A" w:rsidRPr="004F1BF7" w:rsidRDefault="00F604B8">
      <w:pPr>
        <w:numPr>
          <w:ilvl w:val="0"/>
          <w:numId w:val="2"/>
        </w:numPr>
        <w:pBdr>
          <w:top w:val="single" w:sz="4" w:space="0" w:color="7F7F7F"/>
          <w:left w:val="single" w:sz="4" w:space="0" w:color="7F7F7F"/>
          <w:bottom w:val="single" w:sz="4" w:space="0" w:color="7F7F7F"/>
          <w:right w:val="single" w:sz="4" w:space="0" w:color="7F7F7F"/>
        </w:pBdr>
        <w:spacing w:after="519" w:line="240" w:lineRule="auto"/>
        <w:ind w:right="85" w:hanging="240"/>
        <w:jc w:val="both"/>
      </w:pPr>
      <w:r w:rsidRPr="00F604B8">
        <w:rPr>
          <w:rFonts w:eastAsia="Gill Sans MT"/>
          <w:sz w:val="24"/>
        </w:rPr>
        <w:t>Omówienie instytucji prawnych prawa rynków kapitałowych wprowadzonych nowymi aktami prawnymi lub wynikających z nowelizacji obowiązujących aktów prawnych</w:t>
      </w:r>
      <w:r w:rsidR="004F1BF7">
        <w:rPr>
          <w:rFonts w:eastAsia="Gill Sans MT"/>
          <w:sz w:val="24"/>
        </w:rPr>
        <w:t>.</w:t>
      </w:r>
    </w:p>
    <w:p w:rsidR="004F1BF7" w:rsidRPr="00F604B8" w:rsidRDefault="004F1BF7" w:rsidP="004F1BF7">
      <w:pPr>
        <w:pBdr>
          <w:top w:val="single" w:sz="4" w:space="0" w:color="7F7F7F"/>
          <w:left w:val="single" w:sz="4" w:space="0" w:color="7F7F7F"/>
          <w:bottom w:val="single" w:sz="4" w:space="0" w:color="7F7F7F"/>
          <w:right w:val="single" w:sz="4" w:space="0" w:color="7F7F7F"/>
        </w:pBdr>
        <w:spacing w:after="519" w:line="240" w:lineRule="auto"/>
        <w:ind w:left="185" w:right="85"/>
        <w:jc w:val="both"/>
      </w:pPr>
      <w:r>
        <w:rPr>
          <w:rFonts w:eastAsia="Gill Sans MT"/>
          <w:sz w:val="24"/>
        </w:rPr>
        <w:t>Suma godzin: 9</w:t>
      </w:r>
    </w:p>
    <w:p w:rsidR="00BC0F0A" w:rsidRPr="00F604B8" w:rsidRDefault="00F604B8">
      <w:pPr>
        <w:spacing w:after="191" w:line="265" w:lineRule="auto"/>
        <w:ind w:left="430" w:hanging="10"/>
        <w:jc w:val="both"/>
      </w:pPr>
      <w:r w:rsidRPr="00F604B8">
        <w:rPr>
          <w:rFonts w:eastAsia="Gill Sans MT"/>
          <w:b/>
          <w:sz w:val="24"/>
        </w:rPr>
        <w:t>3.4 Metody dydaktyczne</w:t>
      </w:r>
      <w:r w:rsidRPr="00F604B8">
        <w:rPr>
          <w:rFonts w:eastAsia="Gill Sans MT"/>
          <w:sz w:val="24"/>
        </w:rPr>
        <w:t xml:space="preserve"> </w:t>
      </w:r>
    </w:p>
    <w:p w:rsidR="00BC0F0A" w:rsidRPr="00F604B8" w:rsidRDefault="00F604B8">
      <w:pPr>
        <w:spacing w:after="307"/>
      </w:pPr>
      <w:r w:rsidRPr="00F604B8">
        <w:rPr>
          <w:rFonts w:eastAsia="Gill Sans MT"/>
          <w:sz w:val="20"/>
        </w:rPr>
        <w:t>Konwersatorium</w:t>
      </w:r>
    </w:p>
    <w:p w:rsidR="00BC0F0A" w:rsidRPr="00F604B8" w:rsidRDefault="00F604B8">
      <w:pPr>
        <w:pStyle w:val="Nagwek1"/>
        <w:spacing w:after="251"/>
        <w:ind w:left="-5" w:right="0"/>
        <w:rPr>
          <w:rFonts w:ascii="Calibri" w:hAnsi="Calibri" w:cs="Calibri"/>
        </w:rPr>
      </w:pPr>
      <w:r w:rsidRPr="00F604B8">
        <w:rPr>
          <w:rFonts w:ascii="Calibri" w:hAnsi="Calibri" w:cs="Calibri"/>
        </w:rPr>
        <w:t xml:space="preserve">4. METODY I KRYTERIA OCENY </w:t>
      </w:r>
    </w:p>
    <w:p w:rsidR="00BC0F0A" w:rsidRPr="00F604B8" w:rsidRDefault="00F604B8">
      <w:pPr>
        <w:pStyle w:val="Nagwek2"/>
        <w:ind w:left="430" w:right="0"/>
        <w:rPr>
          <w:rFonts w:ascii="Calibri" w:hAnsi="Calibri" w:cs="Calibri"/>
        </w:rPr>
      </w:pPr>
      <w:r w:rsidRPr="00F604B8">
        <w:rPr>
          <w:rFonts w:ascii="Calibri" w:hAnsi="Calibri" w:cs="Calibri"/>
        </w:rPr>
        <w:t xml:space="preserve">4.1 Sposoby weryfikacji efektów </w:t>
      </w:r>
      <w:r w:rsidR="00C6747A">
        <w:rPr>
          <w:rFonts w:ascii="Calibri" w:hAnsi="Calibri" w:cs="Calibri"/>
        </w:rPr>
        <w:t xml:space="preserve">uczenia się </w:t>
      </w:r>
    </w:p>
    <w:tbl>
      <w:tblPr>
        <w:tblStyle w:val="TableGrid"/>
        <w:tblW w:w="9514" w:type="dxa"/>
        <w:tblInd w:w="107" w:type="dxa"/>
        <w:tblCellMar>
          <w:top w:w="61" w:type="dxa"/>
          <w:left w:w="77" w:type="dxa"/>
          <w:right w:w="159" w:type="dxa"/>
        </w:tblCellMar>
        <w:tblLook w:val="04A0" w:firstRow="1" w:lastRow="0" w:firstColumn="1" w:lastColumn="0" w:noHBand="0" w:noVBand="1"/>
      </w:tblPr>
      <w:tblGrid>
        <w:gridCol w:w="2379"/>
        <w:gridCol w:w="5037"/>
        <w:gridCol w:w="2098"/>
      </w:tblGrid>
      <w:tr w:rsidR="00BC0F0A" w:rsidRPr="00F604B8">
        <w:trPr>
          <w:trHeight w:val="1010"/>
        </w:trPr>
        <w:tc>
          <w:tcPr>
            <w:tcW w:w="2379"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pPr>
              <w:spacing w:after="0"/>
              <w:ind w:left="68"/>
              <w:jc w:val="center"/>
            </w:pPr>
            <w:r w:rsidRPr="00F604B8">
              <w:rPr>
                <w:rFonts w:eastAsia="Gill Sans MT"/>
                <w:sz w:val="24"/>
              </w:rPr>
              <w:t>Symbol efektu</w:t>
            </w:r>
          </w:p>
        </w:tc>
        <w:tc>
          <w:tcPr>
            <w:tcW w:w="5037"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02"/>
              <w:jc w:val="center"/>
            </w:pPr>
            <w:r w:rsidRPr="00F604B8">
              <w:rPr>
                <w:rFonts w:eastAsia="Gill Sans MT"/>
                <w:sz w:val="24"/>
              </w:rPr>
              <w:t xml:space="preserve">Metody oceny efektów </w:t>
            </w:r>
            <w:r w:rsidR="00C6747A">
              <w:rPr>
                <w:rFonts w:eastAsia="Gill Sans MT"/>
                <w:sz w:val="24"/>
              </w:rPr>
              <w:t xml:space="preserve">uczenia się </w:t>
            </w:r>
          </w:p>
          <w:p w:rsidR="00BC0F0A" w:rsidRPr="00F604B8" w:rsidRDefault="00F604B8">
            <w:pPr>
              <w:spacing w:after="0"/>
              <w:ind w:left="77" w:firstLine="100"/>
              <w:jc w:val="both"/>
            </w:pPr>
            <w:r w:rsidRPr="00F604B8">
              <w:rPr>
                <w:rFonts w:eastAsia="Gill Sans MT"/>
                <w:sz w:val="24"/>
              </w:rPr>
              <w:t>(np.: kolokwium, egzamin ustny, egzamin pisemny, projekt, sprawozdanie, obserwacja w trakcie zajęć)</w:t>
            </w:r>
          </w:p>
        </w:tc>
        <w:tc>
          <w:tcPr>
            <w:tcW w:w="20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line="239" w:lineRule="auto"/>
              <w:jc w:val="center"/>
            </w:pPr>
            <w:r w:rsidRPr="00F604B8">
              <w:rPr>
                <w:rFonts w:eastAsia="Gill Sans MT"/>
                <w:sz w:val="24"/>
              </w:rPr>
              <w:t xml:space="preserve">Forma zajęć dydaktycznych </w:t>
            </w:r>
          </w:p>
          <w:p w:rsidR="00BC0F0A" w:rsidRPr="00F604B8" w:rsidRDefault="00F604B8">
            <w:pPr>
              <w:spacing w:after="0"/>
              <w:ind w:left="91"/>
              <w:jc w:val="center"/>
            </w:pPr>
            <w:r w:rsidRPr="00F604B8">
              <w:rPr>
                <w:rFonts w:eastAsia="Gill Sans MT"/>
                <w:sz w:val="24"/>
              </w:rPr>
              <w:t xml:space="preserve">(w, </w:t>
            </w:r>
            <w:proofErr w:type="spellStart"/>
            <w:r w:rsidRPr="00F604B8">
              <w:rPr>
                <w:rFonts w:eastAsia="Gill Sans MT"/>
                <w:sz w:val="24"/>
              </w:rPr>
              <w:t>ćw</w:t>
            </w:r>
            <w:proofErr w:type="spellEnd"/>
            <w:r w:rsidRPr="00F604B8">
              <w:rPr>
                <w:rFonts w:eastAsia="Gill Sans MT"/>
                <w:sz w:val="24"/>
              </w:rPr>
              <w:t>, …)</w:t>
            </w:r>
          </w:p>
        </w:tc>
      </w:tr>
      <w:tr w:rsidR="00BC0F0A" w:rsidRPr="00F604B8">
        <w:trPr>
          <w:trHeight w:val="450"/>
        </w:trPr>
        <w:tc>
          <w:tcPr>
            <w:tcW w:w="2379"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6"/>
            </w:pPr>
            <w:r w:rsidRPr="00F604B8">
              <w:rPr>
                <w:rFonts w:eastAsia="Gill Sans MT"/>
                <w:sz w:val="19"/>
              </w:rPr>
              <w:t>EK</w:t>
            </w:r>
            <w:r w:rsidRPr="00F604B8">
              <w:rPr>
                <w:rFonts w:eastAsia="Gill Sans MT"/>
                <w:sz w:val="24"/>
              </w:rPr>
              <w:t xml:space="preserve">_ 01 </w:t>
            </w:r>
          </w:p>
        </w:tc>
        <w:tc>
          <w:tcPr>
            <w:tcW w:w="5037"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7"/>
            </w:pPr>
            <w:r>
              <w:rPr>
                <w:rFonts w:eastAsia="Arial"/>
              </w:rPr>
              <w:t>Zaliczenie z oceną, obserwacja w trakcie zajęć</w:t>
            </w:r>
          </w:p>
        </w:tc>
        <w:tc>
          <w:tcPr>
            <w:tcW w:w="20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sz w:val="24"/>
              </w:rPr>
              <w:t>K</w:t>
            </w:r>
            <w:r w:rsidRPr="00F604B8">
              <w:rPr>
                <w:rFonts w:eastAsia="Gill Sans MT"/>
                <w:sz w:val="19"/>
              </w:rPr>
              <w:t>ONWERSATORIUM</w:t>
            </w:r>
          </w:p>
        </w:tc>
      </w:tr>
      <w:tr w:rsidR="00BC0F0A" w:rsidRPr="00F604B8">
        <w:trPr>
          <w:trHeight w:val="450"/>
        </w:trPr>
        <w:tc>
          <w:tcPr>
            <w:tcW w:w="2379"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6"/>
            </w:pPr>
            <w:r w:rsidRPr="00F604B8">
              <w:rPr>
                <w:rFonts w:eastAsia="Gill Sans MT"/>
                <w:sz w:val="24"/>
              </w:rPr>
              <w:t>E</w:t>
            </w:r>
            <w:r w:rsidRPr="00F604B8">
              <w:rPr>
                <w:rFonts w:eastAsia="Gill Sans MT"/>
                <w:sz w:val="19"/>
              </w:rPr>
              <w:t>K</w:t>
            </w:r>
            <w:r w:rsidRPr="00F604B8">
              <w:rPr>
                <w:rFonts w:eastAsia="Gill Sans MT"/>
                <w:sz w:val="24"/>
              </w:rPr>
              <w:t>_ 02</w:t>
            </w:r>
          </w:p>
        </w:tc>
        <w:tc>
          <w:tcPr>
            <w:tcW w:w="5037"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7"/>
            </w:pPr>
            <w:r>
              <w:rPr>
                <w:rFonts w:eastAsia="Arial"/>
              </w:rPr>
              <w:t>Zaliczenie z oceną, obserwacja w trakcie zajęć</w:t>
            </w:r>
          </w:p>
        </w:tc>
        <w:tc>
          <w:tcPr>
            <w:tcW w:w="2098" w:type="dxa"/>
            <w:tcBorders>
              <w:top w:val="single" w:sz="4" w:space="0" w:color="7F7F7F"/>
              <w:left w:val="single" w:sz="4" w:space="0" w:color="7F7F7F"/>
              <w:bottom w:val="single" w:sz="4" w:space="0" w:color="7F7F7F"/>
              <w:right w:val="single" w:sz="4" w:space="0" w:color="7F7F7F"/>
            </w:tcBorders>
            <w:vAlign w:val="center"/>
          </w:tcPr>
          <w:p w:rsidR="00BC0F0A" w:rsidRPr="00F604B8" w:rsidRDefault="00F604B8">
            <w:pPr>
              <w:spacing w:after="0"/>
            </w:pPr>
            <w:r w:rsidRPr="00F604B8">
              <w:rPr>
                <w:rFonts w:eastAsia="Gill Sans MT"/>
                <w:sz w:val="24"/>
              </w:rPr>
              <w:t>K</w:t>
            </w:r>
            <w:r w:rsidRPr="00F604B8">
              <w:rPr>
                <w:rFonts w:eastAsia="Gill Sans MT"/>
                <w:sz w:val="19"/>
              </w:rPr>
              <w:t>ONWERSATORIUM</w:t>
            </w:r>
          </w:p>
        </w:tc>
      </w:tr>
      <w:tr w:rsidR="00BC0F0A" w:rsidRPr="00F604B8">
        <w:trPr>
          <w:trHeight w:val="450"/>
        </w:trPr>
        <w:tc>
          <w:tcPr>
            <w:tcW w:w="2379"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6"/>
            </w:pPr>
            <w:r w:rsidRPr="00F604B8">
              <w:rPr>
                <w:rFonts w:eastAsia="Gill Sans MT"/>
                <w:sz w:val="24"/>
              </w:rPr>
              <w:t>EK_03</w:t>
            </w:r>
          </w:p>
        </w:tc>
        <w:tc>
          <w:tcPr>
            <w:tcW w:w="5037"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7"/>
            </w:pPr>
            <w:r>
              <w:rPr>
                <w:rFonts w:eastAsia="Arial"/>
              </w:rPr>
              <w:t>Zaliczenie z oceną, obserwacja w trakcie zajęć</w:t>
            </w:r>
          </w:p>
        </w:tc>
        <w:tc>
          <w:tcPr>
            <w:tcW w:w="20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sz w:val="24"/>
              </w:rPr>
              <w:t>K</w:t>
            </w:r>
            <w:r w:rsidRPr="00F604B8">
              <w:rPr>
                <w:rFonts w:eastAsia="Gill Sans MT"/>
                <w:sz w:val="19"/>
              </w:rPr>
              <w:t>ONWERSATORIUM</w:t>
            </w:r>
          </w:p>
        </w:tc>
      </w:tr>
      <w:tr w:rsidR="00C25F71" w:rsidRPr="00F604B8">
        <w:trPr>
          <w:trHeight w:val="450"/>
        </w:trPr>
        <w:tc>
          <w:tcPr>
            <w:tcW w:w="2379" w:type="dxa"/>
            <w:tcBorders>
              <w:top w:val="single" w:sz="4" w:space="0" w:color="7F7F7F"/>
              <w:left w:val="single" w:sz="4" w:space="0" w:color="7F7F7F"/>
              <w:bottom w:val="single" w:sz="4" w:space="0" w:color="7F7F7F"/>
              <w:right w:val="single" w:sz="4" w:space="0" w:color="7F7F7F"/>
            </w:tcBorders>
          </w:tcPr>
          <w:p w:rsidR="00C25F71" w:rsidRPr="00F604B8" w:rsidRDefault="00C25F71" w:rsidP="00C25F71">
            <w:pPr>
              <w:spacing w:after="0"/>
              <w:ind w:left="16"/>
              <w:rPr>
                <w:rFonts w:eastAsia="Gill Sans MT"/>
                <w:sz w:val="24"/>
              </w:rPr>
            </w:pPr>
            <w:r w:rsidRPr="00F22151">
              <w:rPr>
                <w:rFonts w:eastAsia="Gill Sans MT"/>
                <w:sz w:val="24"/>
              </w:rPr>
              <w:t>EK_0</w:t>
            </w:r>
            <w:r>
              <w:rPr>
                <w:rFonts w:eastAsia="Gill Sans MT"/>
                <w:sz w:val="24"/>
              </w:rPr>
              <w:t>4</w:t>
            </w:r>
          </w:p>
        </w:tc>
        <w:tc>
          <w:tcPr>
            <w:tcW w:w="5037" w:type="dxa"/>
            <w:tcBorders>
              <w:top w:val="single" w:sz="4" w:space="0" w:color="7F7F7F"/>
              <w:left w:val="single" w:sz="4" w:space="0" w:color="7F7F7F"/>
              <w:bottom w:val="single" w:sz="4" w:space="0" w:color="7F7F7F"/>
              <w:right w:val="single" w:sz="4" w:space="0" w:color="7F7F7F"/>
            </w:tcBorders>
          </w:tcPr>
          <w:p w:rsidR="00C25F71" w:rsidRPr="00E90DE8" w:rsidRDefault="00C25F71" w:rsidP="00C25F71">
            <w:r w:rsidRPr="00E90DE8">
              <w:t>Zaliczenie z oceną, obserwacja w trakcie zajęć</w:t>
            </w:r>
          </w:p>
        </w:tc>
        <w:tc>
          <w:tcPr>
            <w:tcW w:w="2098" w:type="dxa"/>
            <w:tcBorders>
              <w:top w:val="single" w:sz="4" w:space="0" w:color="7F7F7F"/>
              <w:left w:val="single" w:sz="4" w:space="0" w:color="7F7F7F"/>
              <w:bottom w:val="single" w:sz="4" w:space="0" w:color="7F7F7F"/>
              <w:right w:val="single" w:sz="4" w:space="0" w:color="7F7F7F"/>
            </w:tcBorders>
          </w:tcPr>
          <w:p w:rsidR="00C25F71" w:rsidRDefault="00C25F71" w:rsidP="00C25F71">
            <w:r w:rsidRPr="00E90DE8">
              <w:t>KONWERSATORIUM</w:t>
            </w:r>
          </w:p>
        </w:tc>
      </w:tr>
      <w:tr w:rsidR="00C25F71" w:rsidRPr="00F604B8">
        <w:trPr>
          <w:trHeight w:val="450"/>
        </w:trPr>
        <w:tc>
          <w:tcPr>
            <w:tcW w:w="2379" w:type="dxa"/>
            <w:tcBorders>
              <w:top w:val="single" w:sz="4" w:space="0" w:color="7F7F7F"/>
              <w:left w:val="single" w:sz="4" w:space="0" w:color="7F7F7F"/>
              <w:bottom w:val="single" w:sz="4" w:space="0" w:color="7F7F7F"/>
              <w:right w:val="single" w:sz="4" w:space="0" w:color="7F7F7F"/>
            </w:tcBorders>
          </w:tcPr>
          <w:p w:rsidR="00C25F71" w:rsidRPr="00F604B8" w:rsidRDefault="00C25F71" w:rsidP="00C25F71">
            <w:pPr>
              <w:spacing w:after="0"/>
              <w:ind w:left="16"/>
              <w:rPr>
                <w:rFonts w:eastAsia="Gill Sans MT"/>
                <w:sz w:val="24"/>
              </w:rPr>
            </w:pPr>
            <w:r w:rsidRPr="00F604B8">
              <w:rPr>
                <w:rFonts w:eastAsia="Gill Sans MT"/>
                <w:sz w:val="24"/>
              </w:rPr>
              <w:t>EK_0</w:t>
            </w:r>
            <w:r>
              <w:rPr>
                <w:rFonts w:eastAsia="Gill Sans MT"/>
                <w:sz w:val="24"/>
              </w:rPr>
              <w:t>5</w:t>
            </w:r>
          </w:p>
        </w:tc>
        <w:tc>
          <w:tcPr>
            <w:tcW w:w="5037" w:type="dxa"/>
            <w:tcBorders>
              <w:top w:val="single" w:sz="4" w:space="0" w:color="7F7F7F"/>
              <w:left w:val="single" w:sz="4" w:space="0" w:color="7F7F7F"/>
              <w:bottom w:val="single" w:sz="4" w:space="0" w:color="7F7F7F"/>
              <w:right w:val="single" w:sz="4" w:space="0" w:color="7F7F7F"/>
            </w:tcBorders>
          </w:tcPr>
          <w:p w:rsidR="00C25F71" w:rsidRPr="00E90DE8" w:rsidRDefault="00C25F71" w:rsidP="00C25F71">
            <w:r w:rsidRPr="00E90DE8">
              <w:t>Zaliczenie z oceną, obserwacja w trakcie zajęć</w:t>
            </w:r>
          </w:p>
        </w:tc>
        <w:tc>
          <w:tcPr>
            <w:tcW w:w="2098" w:type="dxa"/>
            <w:tcBorders>
              <w:top w:val="single" w:sz="4" w:space="0" w:color="7F7F7F"/>
              <w:left w:val="single" w:sz="4" w:space="0" w:color="7F7F7F"/>
              <w:bottom w:val="single" w:sz="4" w:space="0" w:color="7F7F7F"/>
              <w:right w:val="single" w:sz="4" w:space="0" w:color="7F7F7F"/>
            </w:tcBorders>
          </w:tcPr>
          <w:p w:rsidR="00C25F71" w:rsidRDefault="00C25F71" w:rsidP="00C25F71">
            <w:r w:rsidRPr="00E90DE8">
              <w:t>KONWERSATORIUM</w:t>
            </w:r>
          </w:p>
        </w:tc>
      </w:tr>
    </w:tbl>
    <w:p w:rsidR="00C6747A" w:rsidRDefault="00C6747A" w:rsidP="00F604B8">
      <w:pPr>
        <w:pStyle w:val="Nagwek2"/>
        <w:spacing w:after="0" w:line="264" w:lineRule="auto"/>
        <w:ind w:left="431" w:right="0" w:hanging="11"/>
        <w:rPr>
          <w:rFonts w:ascii="Calibri" w:hAnsi="Calibri" w:cs="Calibri"/>
        </w:rPr>
      </w:pPr>
    </w:p>
    <w:p w:rsidR="00BC0F0A" w:rsidRDefault="00F604B8" w:rsidP="00F604B8">
      <w:pPr>
        <w:pStyle w:val="Nagwek2"/>
        <w:spacing w:after="0" w:line="264" w:lineRule="auto"/>
        <w:ind w:left="431" w:right="0" w:hanging="11"/>
        <w:rPr>
          <w:rFonts w:ascii="Calibri" w:hAnsi="Calibri" w:cs="Calibri"/>
        </w:rPr>
      </w:pPr>
      <w:r w:rsidRPr="00F604B8">
        <w:rPr>
          <w:rFonts w:ascii="Calibri" w:hAnsi="Calibri" w:cs="Calibri"/>
        </w:rPr>
        <w:t xml:space="preserve">4.2 Warunki zaliczenia przedmiotu (kryteria oceniania) </w:t>
      </w:r>
    </w:p>
    <w:p w:rsidR="00080423" w:rsidRPr="00080423" w:rsidRDefault="00080423" w:rsidP="00080423"/>
    <w:p w:rsidR="00BC0F0A" w:rsidRPr="00F604B8" w:rsidRDefault="00F604B8" w:rsidP="00F604B8">
      <w:pPr>
        <w:pBdr>
          <w:top w:val="single" w:sz="4" w:space="0" w:color="7F7F7F"/>
          <w:left w:val="single" w:sz="4" w:space="0" w:color="7F7F7F"/>
          <w:bottom w:val="single" w:sz="4" w:space="0" w:color="7F7F7F"/>
          <w:right w:val="single" w:sz="4" w:space="0" w:color="7F7F7F"/>
        </w:pBdr>
        <w:spacing w:after="0" w:line="226" w:lineRule="auto"/>
        <w:ind w:left="198" w:right="91"/>
        <w:jc w:val="both"/>
      </w:pPr>
      <w:r w:rsidRPr="00F604B8">
        <w:rPr>
          <w:rFonts w:eastAsia="Times New Roman"/>
        </w:rPr>
        <w:t>Wynik pozytywny z egzaminu osiąga osoba, która udzieli odpowiedzi poprawnej na co najmniej połowę pytań podczas egzaminu pisemnego. Konkretne kryteria oceny zostaną uzależnione od liczby pytań występujących na egzaminie.</w:t>
      </w:r>
    </w:p>
    <w:p w:rsidR="00080423" w:rsidRDefault="00080423" w:rsidP="00F604B8">
      <w:pPr>
        <w:pStyle w:val="Nagwek1"/>
        <w:spacing w:after="0" w:line="264" w:lineRule="auto"/>
        <w:ind w:left="261" w:right="0" w:hanging="278"/>
        <w:rPr>
          <w:rFonts w:ascii="Calibri" w:hAnsi="Calibri" w:cs="Calibri"/>
        </w:rPr>
      </w:pPr>
    </w:p>
    <w:p w:rsidR="00BC0F0A" w:rsidRDefault="00080423" w:rsidP="009F717B">
      <w:pPr>
        <w:pStyle w:val="Nagwek1"/>
        <w:numPr>
          <w:ilvl w:val="0"/>
          <w:numId w:val="5"/>
        </w:numPr>
        <w:spacing w:after="0" w:line="264" w:lineRule="auto"/>
        <w:ind w:left="284" w:right="0"/>
        <w:rPr>
          <w:rFonts w:ascii="Calibri" w:hAnsi="Calibri" w:cs="Calibri"/>
        </w:rPr>
      </w:pPr>
      <w:r>
        <w:rPr>
          <w:rFonts w:ascii="Calibri" w:hAnsi="Calibri" w:cs="Calibri"/>
        </w:rPr>
        <w:br w:type="column"/>
      </w:r>
      <w:r w:rsidR="00F604B8" w:rsidRPr="00F604B8">
        <w:rPr>
          <w:rFonts w:ascii="Calibri" w:hAnsi="Calibri" w:cs="Calibri"/>
        </w:rPr>
        <w:lastRenderedPageBreak/>
        <w:t xml:space="preserve">CAŁKOWITY NAKŁAD PRACY STUDENTA POTRZEBNY DO OSIĄGNIĘCIA ZAŁOŻONYCH EFEKTÓW W GODZINACH ORAZ PUNKTACH ECTS </w:t>
      </w:r>
    </w:p>
    <w:p w:rsidR="00080423" w:rsidRPr="00080423" w:rsidRDefault="00080423" w:rsidP="009F717B">
      <w:pPr>
        <w:pStyle w:val="Akapitzlist"/>
        <w:ind w:left="425"/>
      </w:pPr>
    </w:p>
    <w:tbl>
      <w:tblPr>
        <w:tblStyle w:val="TableGrid"/>
        <w:tblW w:w="9514" w:type="dxa"/>
        <w:tblInd w:w="107" w:type="dxa"/>
        <w:tblCellMar>
          <w:top w:w="80" w:type="dxa"/>
          <w:right w:w="115" w:type="dxa"/>
        </w:tblCellMar>
        <w:tblLook w:val="04A0" w:firstRow="1" w:lastRow="0" w:firstColumn="1" w:lastColumn="0" w:noHBand="0" w:noVBand="1"/>
      </w:tblPr>
      <w:tblGrid>
        <w:gridCol w:w="4898"/>
        <w:gridCol w:w="4616"/>
      </w:tblGrid>
      <w:tr w:rsidR="00080423" w:rsidRPr="00F604B8" w:rsidTr="008F3E47">
        <w:trPr>
          <w:trHeight w:val="730"/>
        </w:trPr>
        <w:tc>
          <w:tcPr>
            <w:tcW w:w="4898" w:type="dxa"/>
            <w:tcBorders>
              <w:top w:val="single" w:sz="4" w:space="0" w:color="7F7F7F"/>
              <w:left w:val="single" w:sz="4" w:space="0" w:color="7F7F7F"/>
              <w:bottom w:val="single" w:sz="4" w:space="0" w:color="7F7F7F"/>
              <w:right w:val="single" w:sz="4" w:space="0" w:color="7F7F7F"/>
            </w:tcBorders>
            <w:vAlign w:val="center"/>
          </w:tcPr>
          <w:p w:rsidR="00080423" w:rsidRPr="00F604B8" w:rsidRDefault="00080423" w:rsidP="00080423">
            <w:pPr>
              <w:spacing w:after="0"/>
              <w:ind w:left="119"/>
              <w:jc w:val="center"/>
            </w:pPr>
            <w:r w:rsidRPr="00F604B8">
              <w:rPr>
                <w:rFonts w:eastAsia="Gill Sans MT"/>
                <w:b/>
                <w:sz w:val="24"/>
              </w:rPr>
              <w:t>Forma aktywności</w:t>
            </w:r>
          </w:p>
        </w:tc>
        <w:tc>
          <w:tcPr>
            <w:tcW w:w="4616" w:type="dxa"/>
            <w:tcBorders>
              <w:top w:val="single" w:sz="4" w:space="0" w:color="7F7F7F"/>
              <w:left w:val="single" w:sz="4" w:space="0" w:color="7F7F7F"/>
              <w:bottom w:val="single" w:sz="4" w:space="0" w:color="7F7F7F"/>
              <w:right w:val="single" w:sz="4" w:space="0" w:color="7F7F7F"/>
            </w:tcBorders>
          </w:tcPr>
          <w:p w:rsidR="00080423" w:rsidRPr="00F604B8" w:rsidRDefault="00080423" w:rsidP="00080423">
            <w:pPr>
              <w:spacing w:after="0"/>
              <w:ind w:firstLine="100"/>
              <w:jc w:val="center"/>
            </w:pPr>
            <w:r w:rsidRPr="00F604B8">
              <w:rPr>
                <w:rFonts w:eastAsia="Gill Sans MT"/>
                <w:b/>
                <w:sz w:val="24"/>
              </w:rPr>
              <w:t>Średnia liczba godzin na zrealizowanie aktywności</w:t>
            </w:r>
          </w:p>
        </w:tc>
      </w:tr>
      <w:tr w:rsidR="00080423" w:rsidRPr="00F604B8" w:rsidTr="00003D20">
        <w:trPr>
          <w:trHeight w:val="450"/>
        </w:trPr>
        <w:tc>
          <w:tcPr>
            <w:tcW w:w="4898" w:type="dxa"/>
            <w:tcBorders>
              <w:top w:val="single" w:sz="4" w:space="0" w:color="7F7F7F"/>
              <w:left w:val="single" w:sz="4" w:space="0" w:color="7F7F7F"/>
              <w:bottom w:val="single" w:sz="4" w:space="0" w:color="7F7F7F"/>
              <w:right w:val="single" w:sz="4" w:space="0" w:color="7F7F7F"/>
            </w:tcBorders>
          </w:tcPr>
          <w:p w:rsidR="00080423" w:rsidRPr="00F604B8" w:rsidRDefault="00080423">
            <w:pPr>
              <w:spacing w:after="0"/>
              <w:ind w:left="93"/>
            </w:pPr>
            <w:r w:rsidRPr="00F604B8">
              <w:rPr>
                <w:rFonts w:eastAsia="Gill Sans MT"/>
                <w:sz w:val="24"/>
              </w:rPr>
              <w:t xml:space="preserve">Godziny kontaktowe wynikające z </w:t>
            </w:r>
            <w:r w:rsidR="009F717B">
              <w:rPr>
                <w:rFonts w:eastAsia="Gill Sans MT"/>
                <w:sz w:val="24"/>
              </w:rPr>
              <w:t xml:space="preserve">harmonogramu </w:t>
            </w:r>
            <w:r w:rsidRPr="00F604B8">
              <w:rPr>
                <w:rFonts w:eastAsia="Gill Sans MT"/>
                <w:sz w:val="24"/>
              </w:rPr>
              <w:t>studiów</w:t>
            </w:r>
          </w:p>
        </w:tc>
        <w:tc>
          <w:tcPr>
            <w:tcW w:w="4616" w:type="dxa"/>
            <w:tcBorders>
              <w:top w:val="single" w:sz="4" w:space="0" w:color="7F7F7F"/>
              <w:left w:val="single" w:sz="4" w:space="0" w:color="7F7F7F"/>
              <w:bottom w:val="single" w:sz="4" w:space="0" w:color="7F7F7F"/>
              <w:right w:val="single" w:sz="4" w:space="0" w:color="7F7F7F"/>
            </w:tcBorders>
          </w:tcPr>
          <w:p w:rsidR="00080423" w:rsidRPr="00F604B8" w:rsidRDefault="00080423" w:rsidP="00080423">
            <w:pPr>
              <w:jc w:val="center"/>
            </w:pPr>
            <w:r w:rsidRPr="00F604B8">
              <w:rPr>
                <w:rFonts w:eastAsia="Gill Sans MT"/>
                <w:sz w:val="24"/>
              </w:rPr>
              <w:t>9</w:t>
            </w:r>
          </w:p>
        </w:tc>
      </w:tr>
      <w:tr w:rsidR="00080423" w:rsidRPr="00F604B8" w:rsidTr="007933E2">
        <w:trPr>
          <w:trHeight w:val="730"/>
        </w:trPr>
        <w:tc>
          <w:tcPr>
            <w:tcW w:w="4898" w:type="dxa"/>
            <w:tcBorders>
              <w:top w:val="single" w:sz="4" w:space="0" w:color="7F7F7F"/>
              <w:left w:val="single" w:sz="4" w:space="0" w:color="7F7F7F"/>
              <w:bottom w:val="single" w:sz="4" w:space="0" w:color="7F7F7F"/>
              <w:right w:val="single" w:sz="4" w:space="0" w:color="7F7F7F"/>
            </w:tcBorders>
          </w:tcPr>
          <w:p w:rsidR="00080423" w:rsidRPr="00F604B8" w:rsidRDefault="00080423">
            <w:pPr>
              <w:spacing w:after="0"/>
              <w:ind w:left="93"/>
            </w:pPr>
            <w:r w:rsidRPr="00F604B8">
              <w:rPr>
                <w:rFonts w:eastAsia="Gill Sans MT"/>
                <w:sz w:val="24"/>
              </w:rPr>
              <w:t>Inne z udziałem nauczyciela</w:t>
            </w:r>
          </w:p>
          <w:p w:rsidR="00080423" w:rsidRPr="00F604B8" w:rsidRDefault="00080423">
            <w:pPr>
              <w:spacing w:after="0"/>
              <w:ind w:left="93"/>
            </w:pPr>
            <w:r w:rsidRPr="00F604B8">
              <w:rPr>
                <w:rFonts w:eastAsia="Gill Sans MT"/>
                <w:sz w:val="24"/>
              </w:rPr>
              <w:t>(udział w konsultacjach, egzaminie)</w:t>
            </w:r>
          </w:p>
        </w:tc>
        <w:tc>
          <w:tcPr>
            <w:tcW w:w="4616" w:type="dxa"/>
            <w:tcBorders>
              <w:top w:val="single" w:sz="4" w:space="0" w:color="7F7F7F"/>
              <w:left w:val="single" w:sz="4" w:space="0" w:color="7F7F7F"/>
              <w:bottom w:val="single" w:sz="4" w:space="0" w:color="7F7F7F"/>
              <w:right w:val="single" w:sz="4" w:space="0" w:color="7F7F7F"/>
            </w:tcBorders>
          </w:tcPr>
          <w:p w:rsidR="00080423" w:rsidRPr="00F604B8" w:rsidRDefault="00080423" w:rsidP="00080423">
            <w:pPr>
              <w:jc w:val="center"/>
            </w:pPr>
            <w:r w:rsidRPr="00F604B8">
              <w:rPr>
                <w:rFonts w:eastAsia="Gill Sans MT"/>
                <w:sz w:val="24"/>
              </w:rPr>
              <w:t>5</w:t>
            </w:r>
          </w:p>
        </w:tc>
      </w:tr>
      <w:tr w:rsidR="00BC0F0A" w:rsidRPr="00F604B8">
        <w:trPr>
          <w:trHeight w:val="1010"/>
        </w:trPr>
        <w:tc>
          <w:tcPr>
            <w:tcW w:w="48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8"/>
            </w:pPr>
            <w:r w:rsidRPr="00F604B8">
              <w:rPr>
                <w:rFonts w:eastAsia="Gill Sans MT"/>
                <w:sz w:val="24"/>
              </w:rPr>
              <w:t>Godziny niekontaktowe – praca własna studenta (przygotowanie do zajęć, egzaminu, napisanie referatu itp.)</w:t>
            </w:r>
          </w:p>
        </w:tc>
        <w:tc>
          <w:tcPr>
            <w:tcW w:w="4616" w:type="dxa"/>
            <w:tcBorders>
              <w:top w:val="single" w:sz="4" w:space="0" w:color="7F7F7F"/>
              <w:left w:val="single" w:sz="4" w:space="0" w:color="7F7F7F"/>
              <w:bottom w:val="single" w:sz="4" w:space="0" w:color="7F7F7F"/>
              <w:right w:val="single" w:sz="4" w:space="0" w:color="7F7F7F"/>
            </w:tcBorders>
          </w:tcPr>
          <w:p w:rsidR="00BC0F0A" w:rsidRPr="00F604B8" w:rsidRDefault="00F604B8" w:rsidP="00080423">
            <w:pPr>
              <w:spacing w:after="0"/>
              <w:jc w:val="center"/>
            </w:pPr>
            <w:r w:rsidRPr="00F604B8">
              <w:rPr>
                <w:rFonts w:eastAsia="Gill Sans MT"/>
                <w:sz w:val="24"/>
              </w:rPr>
              <w:t>88</w:t>
            </w:r>
          </w:p>
        </w:tc>
      </w:tr>
      <w:tr w:rsidR="00BC0F0A" w:rsidRPr="00F604B8">
        <w:trPr>
          <w:trHeight w:val="450"/>
        </w:trPr>
        <w:tc>
          <w:tcPr>
            <w:tcW w:w="48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8"/>
            </w:pPr>
            <w:r w:rsidRPr="00F604B8">
              <w:rPr>
                <w:rFonts w:eastAsia="Gill Sans MT"/>
                <w:sz w:val="24"/>
              </w:rPr>
              <w:t>SUMA GODZIN</w:t>
            </w:r>
          </w:p>
        </w:tc>
        <w:tc>
          <w:tcPr>
            <w:tcW w:w="4616" w:type="dxa"/>
            <w:tcBorders>
              <w:top w:val="single" w:sz="4" w:space="0" w:color="7F7F7F"/>
              <w:left w:val="single" w:sz="4" w:space="0" w:color="7F7F7F"/>
              <w:bottom w:val="single" w:sz="4" w:space="0" w:color="7F7F7F"/>
              <w:right w:val="single" w:sz="4" w:space="0" w:color="7F7F7F"/>
            </w:tcBorders>
          </w:tcPr>
          <w:p w:rsidR="00BC0F0A" w:rsidRPr="00F604B8" w:rsidRDefault="00F604B8" w:rsidP="00080423">
            <w:pPr>
              <w:spacing w:after="0"/>
              <w:jc w:val="center"/>
            </w:pPr>
            <w:r w:rsidRPr="00F604B8">
              <w:rPr>
                <w:rFonts w:eastAsia="Gill Sans MT"/>
                <w:sz w:val="24"/>
              </w:rPr>
              <w:t>102</w:t>
            </w:r>
          </w:p>
        </w:tc>
      </w:tr>
      <w:tr w:rsidR="00BC0F0A" w:rsidRPr="00F604B8">
        <w:trPr>
          <w:trHeight w:val="730"/>
        </w:trPr>
        <w:tc>
          <w:tcPr>
            <w:tcW w:w="4898"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ind w:left="18"/>
            </w:pPr>
            <w:r w:rsidRPr="00F604B8">
              <w:rPr>
                <w:rFonts w:eastAsia="Gill Sans MT"/>
                <w:b/>
                <w:sz w:val="24"/>
              </w:rPr>
              <w:t>SUMARYCZNA LICZBA PUNKTÓW ECTS</w:t>
            </w:r>
          </w:p>
        </w:tc>
        <w:tc>
          <w:tcPr>
            <w:tcW w:w="4616" w:type="dxa"/>
            <w:tcBorders>
              <w:top w:val="single" w:sz="4" w:space="0" w:color="7F7F7F"/>
              <w:left w:val="single" w:sz="4" w:space="0" w:color="7F7F7F"/>
              <w:bottom w:val="single" w:sz="4" w:space="0" w:color="7F7F7F"/>
              <w:right w:val="single" w:sz="4" w:space="0" w:color="7F7F7F"/>
            </w:tcBorders>
          </w:tcPr>
          <w:p w:rsidR="00BC0F0A" w:rsidRPr="00F604B8" w:rsidRDefault="00F604B8" w:rsidP="00080423">
            <w:pPr>
              <w:spacing w:after="0"/>
              <w:jc w:val="center"/>
            </w:pPr>
            <w:r w:rsidRPr="00F604B8">
              <w:rPr>
                <w:rFonts w:eastAsia="Gill Sans MT"/>
                <w:sz w:val="24"/>
              </w:rPr>
              <w:t>4</w:t>
            </w:r>
          </w:p>
        </w:tc>
      </w:tr>
    </w:tbl>
    <w:p w:rsidR="00BC0F0A" w:rsidRPr="00F604B8" w:rsidRDefault="00F604B8" w:rsidP="004F1BF7">
      <w:pPr>
        <w:spacing w:after="257"/>
        <w:ind w:right="374"/>
      </w:pPr>
      <w:r w:rsidRPr="00F604B8">
        <w:rPr>
          <w:rFonts w:eastAsia="Gill Sans MT"/>
          <w:i/>
          <w:sz w:val="24"/>
        </w:rPr>
        <w:t>* Należy uwzględnić, że 1 pkt ECTS odpowiada 25-30 godzin całkowitego nakładu pracy studenta.</w:t>
      </w:r>
    </w:p>
    <w:p w:rsidR="00BC0F0A" w:rsidRDefault="00F604B8">
      <w:pPr>
        <w:pStyle w:val="Nagwek1"/>
        <w:ind w:left="-5" w:right="0"/>
        <w:rPr>
          <w:rFonts w:ascii="Calibri" w:hAnsi="Calibri" w:cs="Calibri"/>
        </w:rPr>
      </w:pPr>
      <w:r w:rsidRPr="00F604B8">
        <w:rPr>
          <w:rFonts w:ascii="Calibri" w:hAnsi="Calibri" w:cs="Calibri"/>
        </w:rPr>
        <w:t xml:space="preserve">6. PRAKTYKI ZAWODOWE W RAMACH PRZEDMIOTU </w:t>
      </w:r>
    </w:p>
    <w:p w:rsidR="00080423" w:rsidRPr="00080423" w:rsidRDefault="00080423" w:rsidP="00080423"/>
    <w:tbl>
      <w:tblPr>
        <w:tblStyle w:val="TableGrid"/>
        <w:tblW w:w="7513" w:type="dxa"/>
        <w:tblInd w:w="-5" w:type="dxa"/>
        <w:tblCellMar>
          <w:top w:w="85" w:type="dxa"/>
          <w:left w:w="86" w:type="dxa"/>
          <w:right w:w="115" w:type="dxa"/>
        </w:tblCellMar>
        <w:tblLook w:val="04A0" w:firstRow="1" w:lastRow="0" w:firstColumn="1" w:lastColumn="0" w:noHBand="0" w:noVBand="1"/>
      </w:tblPr>
      <w:tblGrid>
        <w:gridCol w:w="3544"/>
        <w:gridCol w:w="3969"/>
      </w:tblGrid>
      <w:tr w:rsidR="00BC0F0A" w:rsidRPr="00F604B8" w:rsidTr="00080423">
        <w:trPr>
          <w:trHeight w:val="450"/>
        </w:trPr>
        <w:tc>
          <w:tcPr>
            <w:tcW w:w="354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sz w:val="24"/>
              </w:rPr>
              <w:t>wymiar godzinowy</w:t>
            </w:r>
          </w:p>
        </w:tc>
        <w:tc>
          <w:tcPr>
            <w:tcW w:w="3969" w:type="dxa"/>
            <w:tcBorders>
              <w:top w:val="single" w:sz="4" w:space="0" w:color="7F7F7F"/>
              <w:left w:val="single" w:sz="4" w:space="0" w:color="7F7F7F"/>
              <w:bottom w:val="single" w:sz="4" w:space="0" w:color="7F7F7F"/>
              <w:right w:val="single" w:sz="4" w:space="0" w:color="7F7F7F"/>
            </w:tcBorders>
          </w:tcPr>
          <w:p w:rsidR="00BC0F0A" w:rsidRPr="00F604B8" w:rsidRDefault="00080423">
            <w:r>
              <w:t>Nie dotyczy</w:t>
            </w:r>
          </w:p>
        </w:tc>
      </w:tr>
      <w:tr w:rsidR="00BC0F0A" w:rsidRPr="00F604B8" w:rsidTr="00080423">
        <w:trPr>
          <w:trHeight w:val="450"/>
        </w:trPr>
        <w:tc>
          <w:tcPr>
            <w:tcW w:w="3544" w:type="dxa"/>
            <w:tcBorders>
              <w:top w:val="single" w:sz="4" w:space="0" w:color="7F7F7F"/>
              <w:left w:val="single" w:sz="4" w:space="0" w:color="7F7F7F"/>
              <w:bottom w:val="single" w:sz="4" w:space="0" w:color="7F7F7F"/>
              <w:right w:val="single" w:sz="4" w:space="0" w:color="7F7F7F"/>
            </w:tcBorders>
          </w:tcPr>
          <w:p w:rsidR="00BC0F0A" w:rsidRPr="00F604B8" w:rsidRDefault="00F604B8">
            <w:pPr>
              <w:spacing w:after="0"/>
            </w:pPr>
            <w:r w:rsidRPr="00F604B8">
              <w:rPr>
                <w:rFonts w:eastAsia="Gill Sans MT"/>
                <w:sz w:val="24"/>
              </w:rPr>
              <w:t xml:space="preserve">zasady i formy odbywania praktyk </w:t>
            </w:r>
          </w:p>
        </w:tc>
        <w:tc>
          <w:tcPr>
            <w:tcW w:w="3969" w:type="dxa"/>
            <w:tcBorders>
              <w:top w:val="single" w:sz="4" w:space="0" w:color="7F7F7F"/>
              <w:left w:val="single" w:sz="4" w:space="0" w:color="7F7F7F"/>
              <w:bottom w:val="single" w:sz="4" w:space="0" w:color="7F7F7F"/>
              <w:right w:val="single" w:sz="4" w:space="0" w:color="7F7F7F"/>
            </w:tcBorders>
          </w:tcPr>
          <w:p w:rsidR="00BC0F0A" w:rsidRPr="00F604B8" w:rsidRDefault="00080423">
            <w:r>
              <w:t>Nie dotyczy</w:t>
            </w:r>
          </w:p>
        </w:tc>
      </w:tr>
    </w:tbl>
    <w:p w:rsidR="00080423" w:rsidRDefault="00080423">
      <w:pPr>
        <w:pStyle w:val="Nagwek1"/>
        <w:ind w:left="-5" w:right="0"/>
        <w:rPr>
          <w:rFonts w:ascii="Calibri" w:hAnsi="Calibri" w:cs="Calibri"/>
        </w:rPr>
      </w:pPr>
    </w:p>
    <w:p w:rsidR="00BC0F0A" w:rsidRDefault="00F604B8">
      <w:pPr>
        <w:pStyle w:val="Nagwek1"/>
        <w:ind w:left="-5" w:right="0"/>
        <w:rPr>
          <w:rFonts w:ascii="Calibri" w:hAnsi="Calibri" w:cs="Calibri"/>
        </w:rPr>
      </w:pPr>
      <w:r w:rsidRPr="00F604B8">
        <w:rPr>
          <w:rFonts w:ascii="Calibri" w:hAnsi="Calibri" w:cs="Calibri"/>
        </w:rPr>
        <w:t xml:space="preserve">7. LITERATURA </w:t>
      </w:r>
    </w:p>
    <w:p w:rsidR="00080423" w:rsidRPr="00080423" w:rsidRDefault="00080423" w:rsidP="00080423"/>
    <w:tbl>
      <w:tblPr>
        <w:tblStyle w:val="TableGrid"/>
        <w:tblW w:w="7513" w:type="dxa"/>
        <w:tblInd w:w="-5" w:type="dxa"/>
        <w:tblCellMar>
          <w:top w:w="86" w:type="dxa"/>
          <w:left w:w="86" w:type="dxa"/>
          <w:right w:w="17" w:type="dxa"/>
        </w:tblCellMar>
        <w:tblLook w:val="04A0" w:firstRow="1" w:lastRow="0" w:firstColumn="1" w:lastColumn="0" w:noHBand="0" w:noVBand="1"/>
      </w:tblPr>
      <w:tblGrid>
        <w:gridCol w:w="7513"/>
      </w:tblGrid>
      <w:tr w:rsidR="00BC0F0A" w:rsidRPr="00F604B8" w:rsidTr="00080423">
        <w:trPr>
          <w:trHeight w:val="1290"/>
        </w:trPr>
        <w:tc>
          <w:tcPr>
            <w:tcW w:w="7513" w:type="dxa"/>
            <w:tcBorders>
              <w:top w:val="single" w:sz="4" w:space="0" w:color="7F7F7F"/>
              <w:left w:val="single" w:sz="4" w:space="0" w:color="7F7F7F"/>
              <w:bottom w:val="single" w:sz="4" w:space="0" w:color="7F7F7F"/>
              <w:right w:val="single" w:sz="4" w:space="0" w:color="7F7F7F"/>
            </w:tcBorders>
          </w:tcPr>
          <w:p w:rsidR="00F604B8" w:rsidRDefault="00F604B8">
            <w:pPr>
              <w:spacing w:after="0"/>
              <w:ind w:right="48"/>
              <w:jc w:val="both"/>
              <w:rPr>
                <w:rFonts w:eastAsia="Gill Sans MT"/>
                <w:sz w:val="24"/>
              </w:rPr>
            </w:pPr>
            <w:r w:rsidRPr="00F604B8">
              <w:rPr>
                <w:rFonts w:eastAsia="Gill Sans MT"/>
                <w:sz w:val="24"/>
              </w:rPr>
              <w:t xml:space="preserve">Literatura podstawowa: </w:t>
            </w:r>
          </w:p>
          <w:p w:rsidR="00035A19" w:rsidRDefault="00035A19">
            <w:pPr>
              <w:spacing w:after="0"/>
              <w:ind w:right="48"/>
              <w:jc w:val="both"/>
              <w:rPr>
                <w:rFonts w:eastAsia="Gill Sans MT"/>
                <w:sz w:val="24"/>
              </w:rPr>
            </w:pPr>
          </w:p>
          <w:p w:rsidR="00F604B8" w:rsidRDefault="00F604B8">
            <w:pPr>
              <w:spacing w:after="0"/>
              <w:ind w:right="48"/>
              <w:jc w:val="both"/>
              <w:rPr>
                <w:rFonts w:eastAsia="Gill Sans MT"/>
                <w:sz w:val="24"/>
              </w:rPr>
            </w:pPr>
            <w:r w:rsidRPr="00F604B8">
              <w:rPr>
                <w:rFonts w:eastAsia="Gill Sans MT"/>
                <w:sz w:val="24"/>
              </w:rPr>
              <w:t xml:space="preserve">1. A. Chłopecki, M. Dyl, </w:t>
            </w:r>
            <w:r w:rsidRPr="00F604B8">
              <w:rPr>
                <w:rFonts w:eastAsia="Gill Sans MT"/>
                <w:i/>
                <w:sz w:val="24"/>
              </w:rPr>
              <w:t>Prawo rynku kapitałowego</w:t>
            </w:r>
            <w:r w:rsidRPr="00F604B8">
              <w:rPr>
                <w:rFonts w:eastAsia="Gill Sans MT"/>
                <w:sz w:val="24"/>
              </w:rPr>
              <w:t xml:space="preserve">, Warszawa 2017, </w:t>
            </w:r>
          </w:p>
          <w:p w:rsidR="00BC0F0A" w:rsidRPr="00F604B8" w:rsidRDefault="00F604B8">
            <w:pPr>
              <w:spacing w:after="0"/>
              <w:ind w:right="48"/>
              <w:jc w:val="both"/>
            </w:pPr>
            <w:r>
              <w:rPr>
                <w:rFonts w:eastAsia="Gill Sans MT"/>
                <w:sz w:val="24"/>
              </w:rPr>
              <w:t xml:space="preserve">2. </w:t>
            </w:r>
            <w:r w:rsidRPr="00F604B8">
              <w:rPr>
                <w:rFonts w:eastAsia="Gill Sans MT"/>
                <w:sz w:val="24"/>
              </w:rPr>
              <w:t xml:space="preserve">U. Banaszczak- Soroka, </w:t>
            </w:r>
            <w:r w:rsidRPr="00F604B8">
              <w:rPr>
                <w:rFonts w:eastAsia="Gill Sans MT"/>
                <w:i/>
                <w:sz w:val="24"/>
              </w:rPr>
              <w:t xml:space="preserve">Rynek papierów wartościowych, </w:t>
            </w:r>
            <w:r w:rsidRPr="00F604B8">
              <w:rPr>
                <w:rFonts w:eastAsia="Gill Sans MT"/>
                <w:sz w:val="24"/>
              </w:rPr>
              <w:t xml:space="preserve">Warszawa 2016, 3. J. Olszewski. </w:t>
            </w:r>
            <w:r w:rsidRPr="00F604B8">
              <w:rPr>
                <w:rFonts w:eastAsia="Gill Sans MT"/>
                <w:i/>
                <w:sz w:val="24"/>
              </w:rPr>
              <w:t xml:space="preserve">Prawo papierów wartościowych i instytucje rynku </w:t>
            </w:r>
            <w:r w:rsidR="004F1BF7" w:rsidRPr="00F604B8">
              <w:rPr>
                <w:rFonts w:eastAsia="Gill Sans MT"/>
                <w:i/>
                <w:sz w:val="24"/>
              </w:rPr>
              <w:t>kapitałowego</w:t>
            </w:r>
            <w:r w:rsidR="004F1BF7" w:rsidRPr="00F604B8">
              <w:rPr>
                <w:rFonts w:eastAsia="Gill Sans MT"/>
                <w:sz w:val="24"/>
              </w:rPr>
              <w:t>, Przemyśl</w:t>
            </w:r>
            <w:r w:rsidRPr="00F604B8">
              <w:rPr>
                <w:rFonts w:eastAsia="Gill Sans MT"/>
                <w:sz w:val="24"/>
              </w:rPr>
              <w:t xml:space="preserve"> 2000</w:t>
            </w:r>
          </w:p>
        </w:tc>
      </w:tr>
      <w:tr w:rsidR="00BC0F0A" w:rsidRPr="00F604B8" w:rsidTr="00080423">
        <w:trPr>
          <w:trHeight w:val="1290"/>
        </w:trPr>
        <w:tc>
          <w:tcPr>
            <w:tcW w:w="7513" w:type="dxa"/>
            <w:tcBorders>
              <w:top w:val="single" w:sz="4" w:space="0" w:color="7F7F7F"/>
              <w:left w:val="single" w:sz="4" w:space="0" w:color="7F7F7F"/>
              <w:bottom w:val="single" w:sz="4" w:space="0" w:color="7F7F7F"/>
              <w:right w:val="single" w:sz="4" w:space="0" w:color="7F7F7F"/>
            </w:tcBorders>
          </w:tcPr>
          <w:p w:rsidR="00F604B8" w:rsidRDefault="00F604B8">
            <w:pPr>
              <w:spacing w:after="0"/>
              <w:ind w:right="48"/>
              <w:jc w:val="both"/>
              <w:rPr>
                <w:rFonts w:eastAsia="Gill Sans MT"/>
                <w:sz w:val="24"/>
              </w:rPr>
            </w:pPr>
            <w:r w:rsidRPr="00F604B8">
              <w:rPr>
                <w:rFonts w:eastAsia="Gill Sans MT"/>
                <w:sz w:val="24"/>
              </w:rPr>
              <w:t xml:space="preserve">Literatura uzupełniająca: </w:t>
            </w:r>
          </w:p>
          <w:p w:rsidR="00035A19" w:rsidRDefault="00035A19">
            <w:pPr>
              <w:spacing w:after="0"/>
              <w:ind w:right="48"/>
              <w:jc w:val="both"/>
              <w:rPr>
                <w:rFonts w:eastAsia="Gill Sans MT"/>
                <w:sz w:val="24"/>
              </w:rPr>
            </w:pPr>
          </w:p>
          <w:p w:rsidR="00F604B8" w:rsidRDefault="00F604B8">
            <w:pPr>
              <w:spacing w:after="0"/>
              <w:ind w:right="48"/>
              <w:jc w:val="both"/>
              <w:rPr>
                <w:rFonts w:eastAsia="Gill Sans MT"/>
                <w:sz w:val="24"/>
              </w:rPr>
            </w:pPr>
            <w:r w:rsidRPr="00F604B8">
              <w:rPr>
                <w:rFonts w:eastAsia="Gill Sans MT"/>
                <w:sz w:val="24"/>
              </w:rPr>
              <w:t xml:space="preserve">1. A. M. Weber-Elżanowska, </w:t>
            </w:r>
            <w:r w:rsidRPr="00F604B8">
              <w:rPr>
                <w:rFonts w:eastAsia="Gill Sans MT"/>
                <w:i/>
                <w:sz w:val="24"/>
              </w:rPr>
              <w:t xml:space="preserve">Wpływ instytucji prawnych rynku kapitałowego na efektywność Spółek Skarbu Państwa, </w:t>
            </w:r>
            <w:r w:rsidRPr="00F604B8">
              <w:rPr>
                <w:rFonts w:eastAsia="Gill Sans MT"/>
                <w:sz w:val="24"/>
              </w:rPr>
              <w:t>Warszawa 2017</w:t>
            </w:r>
          </w:p>
          <w:p w:rsidR="00BC0F0A" w:rsidRPr="00F604B8" w:rsidRDefault="00F604B8">
            <w:pPr>
              <w:spacing w:after="0"/>
              <w:ind w:right="48"/>
              <w:jc w:val="both"/>
            </w:pPr>
            <w:r w:rsidRPr="00F604B8">
              <w:rPr>
                <w:rFonts w:eastAsia="Gill Sans MT"/>
                <w:i/>
                <w:sz w:val="24"/>
              </w:rPr>
              <w:t xml:space="preserve"> </w:t>
            </w:r>
            <w:r w:rsidRPr="00F604B8">
              <w:rPr>
                <w:rFonts w:eastAsia="Gill Sans MT"/>
                <w:sz w:val="24"/>
              </w:rPr>
              <w:t xml:space="preserve">2. M. Wierzbowski, L. Sobolewski, P.  Wajda, </w:t>
            </w:r>
            <w:r w:rsidRPr="00F604B8">
              <w:rPr>
                <w:rFonts w:eastAsia="Gill Sans MT"/>
                <w:i/>
                <w:sz w:val="24"/>
              </w:rPr>
              <w:t>Prawo rynku kapitałowego. Komentarz</w:t>
            </w:r>
            <w:r w:rsidRPr="00F604B8">
              <w:rPr>
                <w:rFonts w:eastAsia="Gill Sans MT"/>
                <w:sz w:val="24"/>
              </w:rPr>
              <w:t>, Warszawa 2014</w:t>
            </w:r>
          </w:p>
        </w:tc>
      </w:tr>
    </w:tbl>
    <w:p w:rsidR="009644F3" w:rsidRDefault="009644F3">
      <w:pPr>
        <w:spacing w:after="3"/>
        <w:ind w:left="370" w:hanging="10"/>
        <w:rPr>
          <w:rFonts w:eastAsia="Gill Sans MT"/>
          <w:sz w:val="24"/>
        </w:rPr>
      </w:pPr>
    </w:p>
    <w:p w:rsidR="00BC0F0A" w:rsidRPr="00F604B8" w:rsidRDefault="00F604B8">
      <w:pPr>
        <w:spacing w:after="3"/>
        <w:ind w:left="370" w:hanging="10"/>
      </w:pPr>
      <w:r w:rsidRPr="00F604B8">
        <w:rPr>
          <w:rFonts w:eastAsia="Gill Sans MT"/>
          <w:sz w:val="24"/>
        </w:rPr>
        <w:t>Akceptacja Kierownika Jednostki lub osoby upoważnionej</w:t>
      </w:r>
    </w:p>
    <w:sectPr w:rsidR="00BC0F0A" w:rsidRPr="00F604B8">
      <w:pgSz w:w="11900" w:h="16840"/>
      <w:pgMar w:top="1139" w:right="1128" w:bottom="1164" w:left="11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MT">
    <w:panose1 w:val="020B0502020104020203"/>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7D1"/>
    <w:multiLevelType w:val="hybridMultilevel"/>
    <w:tmpl w:val="7FDA71BE"/>
    <w:lvl w:ilvl="0" w:tplc="0688E004">
      <w:start w:val="1"/>
      <w:numFmt w:val="decimal"/>
      <w:lvlText w:val="%1."/>
      <w:lvlJc w:val="left"/>
      <w:pPr>
        <w:ind w:left="0"/>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1" w:tplc="AD24C960">
      <w:start w:val="1"/>
      <w:numFmt w:val="lowerLetter"/>
      <w:lvlText w:val="%2"/>
      <w:lvlJc w:val="left"/>
      <w:pPr>
        <w:ind w:left="117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2" w:tplc="F71220AA">
      <w:start w:val="1"/>
      <w:numFmt w:val="lowerRoman"/>
      <w:lvlText w:val="%3"/>
      <w:lvlJc w:val="left"/>
      <w:pPr>
        <w:ind w:left="189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3" w:tplc="5D447954">
      <w:start w:val="1"/>
      <w:numFmt w:val="decimal"/>
      <w:lvlText w:val="%4"/>
      <w:lvlJc w:val="left"/>
      <w:pPr>
        <w:ind w:left="261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4" w:tplc="2D1612F8">
      <w:start w:val="1"/>
      <w:numFmt w:val="lowerLetter"/>
      <w:lvlText w:val="%5"/>
      <w:lvlJc w:val="left"/>
      <w:pPr>
        <w:ind w:left="333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5" w:tplc="157CB4AE">
      <w:start w:val="1"/>
      <w:numFmt w:val="lowerRoman"/>
      <w:lvlText w:val="%6"/>
      <w:lvlJc w:val="left"/>
      <w:pPr>
        <w:ind w:left="405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6" w:tplc="F958324A">
      <w:start w:val="1"/>
      <w:numFmt w:val="decimal"/>
      <w:lvlText w:val="%7"/>
      <w:lvlJc w:val="left"/>
      <w:pPr>
        <w:ind w:left="477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7" w:tplc="B19E9C7C">
      <w:start w:val="1"/>
      <w:numFmt w:val="lowerLetter"/>
      <w:lvlText w:val="%8"/>
      <w:lvlJc w:val="left"/>
      <w:pPr>
        <w:ind w:left="549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lvl w:ilvl="8" w:tplc="F1063284">
      <w:start w:val="1"/>
      <w:numFmt w:val="lowerRoman"/>
      <w:lvlText w:val="%9"/>
      <w:lvlJc w:val="left"/>
      <w:pPr>
        <w:ind w:left="6213"/>
      </w:pPr>
      <w:rPr>
        <w:rFonts w:ascii="Gill Sans MT" w:eastAsia="Gill Sans MT" w:hAnsi="Gill Sans MT" w:cs="Gill Sans MT"/>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0BF4B80"/>
    <w:multiLevelType w:val="hybridMultilevel"/>
    <w:tmpl w:val="66149038"/>
    <w:lvl w:ilvl="0" w:tplc="5C34D1B4">
      <w:start w:val="1"/>
      <w:numFmt w:val="decimal"/>
      <w:lvlText w:val="%1."/>
      <w:lvlJc w:val="left"/>
      <w:pPr>
        <w:ind w:left="24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1" w:tplc="7324873A">
      <w:start w:val="1"/>
      <w:numFmt w:val="lowerLetter"/>
      <w:lvlText w:val="%2"/>
      <w:lvlJc w:val="left"/>
      <w:pPr>
        <w:ind w:left="117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2" w:tplc="666CA942">
      <w:start w:val="1"/>
      <w:numFmt w:val="lowerRoman"/>
      <w:lvlText w:val="%3"/>
      <w:lvlJc w:val="left"/>
      <w:pPr>
        <w:ind w:left="189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3" w:tplc="D2A8FCC2">
      <w:start w:val="1"/>
      <w:numFmt w:val="decimal"/>
      <w:lvlText w:val="%4"/>
      <w:lvlJc w:val="left"/>
      <w:pPr>
        <w:ind w:left="261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4" w:tplc="3DF677C2">
      <w:start w:val="1"/>
      <w:numFmt w:val="lowerLetter"/>
      <w:lvlText w:val="%5"/>
      <w:lvlJc w:val="left"/>
      <w:pPr>
        <w:ind w:left="333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5" w:tplc="E97E1C22">
      <w:start w:val="1"/>
      <w:numFmt w:val="lowerRoman"/>
      <w:lvlText w:val="%6"/>
      <w:lvlJc w:val="left"/>
      <w:pPr>
        <w:ind w:left="405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6" w:tplc="C6181142">
      <w:start w:val="1"/>
      <w:numFmt w:val="decimal"/>
      <w:lvlText w:val="%7"/>
      <w:lvlJc w:val="left"/>
      <w:pPr>
        <w:ind w:left="477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7" w:tplc="63FADFC8">
      <w:start w:val="1"/>
      <w:numFmt w:val="lowerLetter"/>
      <w:lvlText w:val="%8"/>
      <w:lvlJc w:val="left"/>
      <w:pPr>
        <w:ind w:left="549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8" w:tplc="96385DA0">
      <w:start w:val="1"/>
      <w:numFmt w:val="lowerRoman"/>
      <w:lvlText w:val="%9"/>
      <w:lvlJc w:val="left"/>
      <w:pPr>
        <w:ind w:left="6213"/>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D480054"/>
    <w:multiLevelType w:val="hybridMultilevel"/>
    <w:tmpl w:val="A93A9FF0"/>
    <w:lvl w:ilvl="0" w:tplc="3162D5D4">
      <w:start w:val="1"/>
      <w:numFmt w:val="upperLetter"/>
      <w:lvlText w:val="%1."/>
      <w:lvlJc w:val="left"/>
      <w:pPr>
        <w:ind w:left="1065"/>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1" w:tplc="C21E97F8">
      <w:start w:val="1"/>
      <w:numFmt w:val="lowerLetter"/>
      <w:lvlText w:val="%2"/>
      <w:lvlJc w:val="left"/>
      <w:pPr>
        <w:ind w:left="108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2" w:tplc="80C47AEE">
      <w:start w:val="1"/>
      <w:numFmt w:val="lowerRoman"/>
      <w:lvlText w:val="%3"/>
      <w:lvlJc w:val="left"/>
      <w:pPr>
        <w:ind w:left="180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3" w:tplc="694AC906">
      <w:start w:val="1"/>
      <w:numFmt w:val="decimal"/>
      <w:lvlText w:val="%4"/>
      <w:lvlJc w:val="left"/>
      <w:pPr>
        <w:ind w:left="252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4" w:tplc="7C02B5CC">
      <w:start w:val="1"/>
      <w:numFmt w:val="lowerLetter"/>
      <w:lvlText w:val="%5"/>
      <w:lvlJc w:val="left"/>
      <w:pPr>
        <w:ind w:left="324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5" w:tplc="06124006">
      <w:start w:val="1"/>
      <w:numFmt w:val="lowerRoman"/>
      <w:lvlText w:val="%6"/>
      <w:lvlJc w:val="left"/>
      <w:pPr>
        <w:ind w:left="396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6" w:tplc="7EC840AC">
      <w:start w:val="1"/>
      <w:numFmt w:val="decimal"/>
      <w:lvlText w:val="%7"/>
      <w:lvlJc w:val="left"/>
      <w:pPr>
        <w:ind w:left="468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7" w:tplc="59544F3E">
      <w:start w:val="1"/>
      <w:numFmt w:val="lowerLetter"/>
      <w:lvlText w:val="%8"/>
      <w:lvlJc w:val="left"/>
      <w:pPr>
        <w:ind w:left="540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8" w:tplc="78A4B7CC">
      <w:start w:val="1"/>
      <w:numFmt w:val="lowerRoman"/>
      <w:lvlText w:val="%9"/>
      <w:lvlJc w:val="left"/>
      <w:pPr>
        <w:ind w:left="612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0E53464"/>
    <w:multiLevelType w:val="hybridMultilevel"/>
    <w:tmpl w:val="3EAA7BF0"/>
    <w:lvl w:ilvl="0" w:tplc="4D7AC52E">
      <w:start w:val="1"/>
      <w:numFmt w:val="decimal"/>
      <w:lvlText w:val="%1."/>
      <w:lvlJc w:val="left"/>
      <w:pPr>
        <w:ind w:left="425"/>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1" w:tplc="F05A384E">
      <w:start w:val="1"/>
      <w:numFmt w:val="lowerLetter"/>
      <w:lvlText w:val="%2"/>
      <w:lvlJc w:val="left"/>
      <w:pPr>
        <w:ind w:left="128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2" w:tplc="67468256">
      <w:start w:val="1"/>
      <w:numFmt w:val="lowerRoman"/>
      <w:lvlText w:val="%3"/>
      <w:lvlJc w:val="left"/>
      <w:pPr>
        <w:ind w:left="200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3" w:tplc="A6F80F5A">
      <w:start w:val="1"/>
      <w:numFmt w:val="decimal"/>
      <w:lvlText w:val="%4"/>
      <w:lvlJc w:val="left"/>
      <w:pPr>
        <w:ind w:left="272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4" w:tplc="559E0C2E">
      <w:start w:val="1"/>
      <w:numFmt w:val="lowerLetter"/>
      <w:lvlText w:val="%5"/>
      <w:lvlJc w:val="left"/>
      <w:pPr>
        <w:ind w:left="344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5" w:tplc="84DA1B7E">
      <w:start w:val="1"/>
      <w:numFmt w:val="lowerRoman"/>
      <w:lvlText w:val="%6"/>
      <w:lvlJc w:val="left"/>
      <w:pPr>
        <w:ind w:left="416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6" w:tplc="F3EC579A">
      <w:start w:val="1"/>
      <w:numFmt w:val="decimal"/>
      <w:lvlText w:val="%7"/>
      <w:lvlJc w:val="left"/>
      <w:pPr>
        <w:ind w:left="488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7" w:tplc="29A065D0">
      <w:start w:val="1"/>
      <w:numFmt w:val="lowerLetter"/>
      <w:lvlText w:val="%8"/>
      <w:lvlJc w:val="left"/>
      <w:pPr>
        <w:ind w:left="560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8" w:tplc="606206BE">
      <w:start w:val="1"/>
      <w:numFmt w:val="lowerRoman"/>
      <w:lvlText w:val="%9"/>
      <w:lvlJc w:val="left"/>
      <w:pPr>
        <w:ind w:left="632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6F00B1D"/>
    <w:multiLevelType w:val="hybridMultilevel"/>
    <w:tmpl w:val="193A3868"/>
    <w:lvl w:ilvl="0" w:tplc="D28002EE">
      <w:start w:val="5"/>
      <w:numFmt w:val="decimal"/>
      <w:lvlText w:val="%1."/>
      <w:lvlJc w:val="left"/>
      <w:pPr>
        <w:ind w:left="425" w:firstLine="0"/>
      </w:pPr>
      <w:rPr>
        <w:rFonts w:ascii="Gill Sans MT" w:eastAsia="Gill Sans MT" w:hAnsi="Gill Sans MT" w:cs="Gill Sans MT"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F0A"/>
    <w:rsid w:val="0002117A"/>
    <w:rsid w:val="00035A19"/>
    <w:rsid w:val="00080423"/>
    <w:rsid w:val="000B30E0"/>
    <w:rsid w:val="001823F3"/>
    <w:rsid w:val="002C3FDA"/>
    <w:rsid w:val="00455B78"/>
    <w:rsid w:val="004F1BF7"/>
    <w:rsid w:val="006B6EE8"/>
    <w:rsid w:val="007B7A4D"/>
    <w:rsid w:val="008776FA"/>
    <w:rsid w:val="009644F3"/>
    <w:rsid w:val="009979FB"/>
    <w:rsid w:val="009F717B"/>
    <w:rsid w:val="00BC0F0A"/>
    <w:rsid w:val="00C25F71"/>
    <w:rsid w:val="00C6747A"/>
    <w:rsid w:val="00CE341A"/>
    <w:rsid w:val="00CF1635"/>
    <w:rsid w:val="00F22151"/>
    <w:rsid w:val="00F604B8"/>
    <w:rsid w:val="00FF5A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B4F20"/>
  <w15:docId w15:val="{2E84A359-D693-D14B-8567-19AF115F5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rFonts w:ascii="Calibri" w:eastAsia="Calibri" w:hAnsi="Calibri" w:cs="Calibri"/>
      <w:color w:val="000000"/>
      <w:sz w:val="22"/>
    </w:rPr>
  </w:style>
  <w:style w:type="paragraph" w:styleId="Nagwek1">
    <w:name w:val="heading 1"/>
    <w:next w:val="Normalny"/>
    <w:link w:val="Nagwek1Znak"/>
    <w:uiPriority w:val="9"/>
    <w:qFormat/>
    <w:pPr>
      <w:keepNext/>
      <w:keepLines/>
      <w:spacing w:after="3" w:line="265" w:lineRule="auto"/>
      <w:ind w:left="10" w:right="26" w:hanging="10"/>
      <w:jc w:val="both"/>
      <w:outlineLvl w:val="0"/>
    </w:pPr>
    <w:rPr>
      <w:rFonts w:ascii="Gill Sans MT" w:eastAsia="Gill Sans MT" w:hAnsi="Gill Sans MT" w:cs="Gill Sans MT"/>
      <w:b/>
      <w:color w:val="000000"/>
    </w:rPr>
  </w:style>
  <w:style w:type="paragraph" w:styleId="Nagwek2">
    <w:name w:val="heading 2"/>
    <w:next w:val="Normalny"/>
    <w:link w:val="Nagwek2Znak"/>
    <w:uiPriority w:val="9"/>
    <w:unhideWhenUsed/>
    <w:qFormat/>
    <w:pPr>
      <w:keepNext/>
      <w:keepLines/>
      <w:spacing w:after="3" w:line="265" w:lineRule="auto"/>
      <w:ind w:left="10" w:right="26" w:hanging="10"/>
      <w:jc w:val="both"/>
      <w:outlineLvl w:val="1"/>
    </w:pPr>
    <w:rPr>
      <w:rFonts w:ascii="Gill Sans MT" w:eastAsia="Gill Sans MT" w:hAnsi="Gill Sans MT" w:cs="Gill Sans MT"/>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Gill Sans MT" w:eastAsia="Gill Sans MT" w:hAnsi="Gill Sans MT" w:cs="Gill Sans MT"/>
      <w:b/>
      <w:color w:val="000000"/>
      <w:sz w:val="24"/>
    </w:rPr>
  </w:style>
  <w:style w:type="character" w:customStyle="1" w:styleId="Nagwek2Znak">
    <w:name w:val="Nagłówek 2 Znak"/>
    <w:link w:val="Nagwek2"/>
    <w:rPr>
      <w:rFonts w:ascii="Gill Sans MT" w:eastAsia="Gill Sans MT" w:hAnsi="Gill Sans MT" w:cs="Gill Sans MT"/>
      <w:b/>
      <w:color w:val="000000"/>
      <w:sz w:val="24"/>
    </w:rPr>
  </w:style>
  <w:style w:type="table" w:customStyle="1" w:styleId="TableGrid">
    <w:name w:val="TableGrid"/>
    <w:tblPr>
      <w:tblCellMar>
        <w:top w:w="0" w:type="dxa"/>
        <w:left w:w="0" w:type="dxa"/>
        <w:bottom w:w="0" w:type="dxa"/>
        <w:right w:w="0" w:type="dxa"/>
      </w:tblCellMar>
    </w:tblPr>
  </w:style>
  <w:style w:type="paragraph" w:styleId="Akapitzlist">
    <w:name w:val="List Paragraph"/>
    <w:basedOn w:val="Normalny"/>
    <w:uiPriority w:val="34"/>
    <w:qFormat/>
    <w:rsid w:val="00080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1317</Words>
  <Characters>7908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niestacj. Publiczne prawo papierów wartościowych i instytucji rynku kapitałowego</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niestacj. Publiczne prawo papierów wartościowych i instytucji rynku kapitałowego</dc:title>
  <dc:subject/>
  <dc:creator>1</dc:creator>
  <cp:keywords/>
  <cp:lastModifiedBy>Anna Pikus</cp:lastModifiedBy>
  <cp:revision>20</cp:revision>
  <dcterms:created xsi:type="dcterms:W3CDTF">2022-06-27T16:12:00Z</dcterms:created>
  <dcterms:modified xsi:type="dcterms:W3CDTF">2023-04-14T10:59:00Z</dcterms:modified>
</cp:coreProperties>
</file>